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2B9F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042280FC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316155D4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22E78A0E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2290D81A">
      <w:pPr>
        <w:wordWrap w:val="0"/>
        <w:jc w:val="center"/>
        <w:rPr>
          <w:rFonts w:ascii="黑体" w:hAnsi="黑体" w:eastAsia="黑体" w:cs="Times New Roman"/>
          <w:sz w:val="56"/>
          <w:szCs w:val="56"/>
        </w:rPr>
      </w:pPr>
      <w:r>
        <w:rPr>
          <w:rFonts w:hint="eastAsia" w:ascii="黑体" w:hAnsi="黑体" w:eastAsia="黑体" w:cs="Times New Roman"/>
          <w:sz w:val="52"/>
          <w:szCs w:val="52"/>
        </w:rPr>
        <w:t>产品质量</w:t>
      </w:r>
      <w:r>
        <w:rPr>
          <w:rFonts w:ascii="黑体" w:hAnsi="黑体" w:eastAsia="黑体" w:cs="Times New Roman"/>
          <w:sz w:val="52"/>
          <w:szCs w:val="52"/>
        </w:rPr>
        <w:t>检测能力明白纸</w:t>
      </w:r>
    </w:p>
    <w:p w14:paraId="6AB19F07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0AA77057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4C26C019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4E9EE752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4DB85099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p w14:paraId="2E2A76AE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p w14:paraId="60E9CDFF">
      <w:pPr>
        <w:wordWrap w:val="0"/>
        <w:ind w:left="991" w:leftChars="472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p w14:paraId="74C1EA94">
      <w:pPr>
        <w:wordWrap w:val="0"/>
        <w:ind w:left="991" w:leftChars="472"/>
        <w:jc w:val="center"/>
        <w:rPr>
          <w:rFonts w:ascii="黑体" w:hAnsi="黑体" w:eastAsia="黑体" w:cs="Times New Roman"/>
          <w:sz w:val="40"/>
          <w:szCs w:val="40"/>
        </w:rPr>
      </w:pPr>
    </w:p>
    <w:p w14:paraId="2850B8AA">
      <w:pPr>
        <w:wordWrap w:val="0"/>
        <w:ind w:left="991" w:leftChars="472"/>
        <w:jc w:val="center"/>
        <w:rPr>
          <w:rFonts w:hint="eastAsia" w:ascii="黑体" w:hAnsi="黑体" w:eastAsia="黑体" w:cs="Times New Roman"/>
          <w:sz w:val="52"/>
          <w:szCs w:val="52"/>
          <w:lang w:val="de-DE"/>
        </w:rPr>
      </w:pPr>
    </w:p>
    <w:p w14:paraId="27B3AF17">
      <w:pPr>
        <w:wordWrap w:val="0"/>
        <w:ind w:left="991" w:leftChars="472"/>
        <w:jc w:val="center"/>
        <w:rPr>
          <w:rFonts w:hint="eastAsia" w:ascii="黑体" w:hAnsi="黑体" w:eastAsia="黑体" w:cs="Times New Roman"/>
          <w:sz w:val="52"/>
          <w:szCs w:val="52"/>
          <w:lang w:val="de-DE"/>
        </w:rPr>
      </w:pPr>
    </w:p>
    <w:p w14:paraId="270A0752">
      <w:pPr>
        <w:wordWrap w:val="0"/>
        <w:jc w:val="center"/>
        <w:rPr>
          <w:rFonts w:hint="eastAsia" w:ascii="黑体" w:hAnsi="黑体" w:eastAsia="黑体" w:cs="Times New Roman"/>
          <w:sz w:val="52"/>
          <w:szCs w:val="52"/>
          <w:lang w:val="de-DE"/>
        </w:rPr>
      </w:pPr>
      <w:r>
        <w:rPr>
          <w:rFonts w:hint="eastAsia" w:ascii="黑体" w:hAnsi="黑体" w:eastAsia="黑体" w:cs="Times New Roman"/>
          <w:sz w:val="52"/>
          <w:szCs w:val="52"/>
          <w:lang w:val="de-DE"/>
        </w:rPr>
        <w:t>中机检测有限公司</w:t>
      </w:r>
    </w:p>
    <w:p w14:paraId="4D0D257A">
      <w:pPr>
        <w:wordWrap w:val="0"/>
        <w:jc w:val="center"/>
        <w:rPr>
          <w:rFonts w:hint="eastAsia" w:ascii="黑体" w:hAnsi="黑体" w:eastAsia="黑体" w:cs="Times New Roman"/>
          <w:sz w:val="52"/>
          <w:szCs w:val="52"/>
          <w:lang w:val="de-DE"/>
        </w:rPr>
      </w:pPr>
      <w:r>
        <w:rPr>
          <w:rFonts w:hint="eastAsia" w:ascii="黑体" w:hAnsi="黑体" w:eastAsia="黑体" w:cs="Times New Roman"/>
          <w:sz w:val="52"/>
          <w:szCs w:val="52"/>
          <w:lang w:val="de-DE"/>
        </w:rPr>
        <w:t>国家试验机质量检验检测中心</w:t>
      </w:r>
    </w:p>
    <w:p w14:paraId="5ED2A6AA">
      <w:pPr>
        <w:wordWrap w:val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2024年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月</w:t>
      </w:r>
    </w:p>
    <w:p w14:paraId="39D9B731">
      <w:pPr>
        <w:wordWrap w:val="0"/>
        <w:spacing w:line="360" w:lineRule="auto"/>
        <w:rPr>
          <w:rFonts w:ascii="Times New Roman" w:hAnsi="Times New Roman" w:cs="Times New Roman"/>
          <w:sz w:val="18"/>
          <w:szCs w:val="21"/>
        </w:rPr>
      </w:pPr>
    </w:p>
    <w:p w14:paraId="2509960D">
      <w:pPr>
        <w:widowControl/>
        <w:wordWrap w:val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中机检测有限公司暨国家试验机质量检验检测中心</w:t>
      </w:r>
    </w:p>
    <w:p w14:paraId="0E3E6520">
      <w:pPr>
        <w:wordWrap w:val="0"/>
        <w:snapToGrid w:val="0"/>
        <w:spacing w:line="276" w:lineRule="auto"/>
        <w:ind w:right="-189" w:rightChars="-90"/>
        <w:jc w:val="center"/>
        <w:rPr>
          <w:rFonts w:ascii="仿宋_GB2312" w:hAnsi="Times New Roman" w:eastAsia="仿宋_GB2312" w:cs="Times New Roman"/>
          <w:sz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简   介</w:t>
      </w:r>
    </w:p>
    <w:p w14:paraId="3702B5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189" w:rightChars="-90" w:firstLine="480" w:firstLineChars="200"/>
        <w:jc w:val="left"/>
        <w:textAlignment w:val="auto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中机检测有限公司暨国家试验机质量检验检测中心，前身是长春材料试验机测试中心，成立于1972年，2021年正式更名为中机检测有限公司，是中机试验装备股份有限公司的全资子公司，具备武器装备承制资格二级保密单位资质，是科技成果检测鉴定国家级检测机构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4"/>
        </w:rPr>
        <w:t>秉承中机试验六十多年科研院所的专业技术，在行业重大科研项目中担当检测主力军，拥有多位行业内知名专家，教授高工、研究员等高层次人才15人，高级以上工程师20人，整体从事检测人员达到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90</w:t>
      </w:r>
      <w:r>
        <w:rPr>
          <w:rFonts w:hint="eastAsia" w:ascii="仿宋_GB2312" w:hAnsi="Times New Roman" w:eastAsia="仿宋_GB2312" w:cs="Times New Roman"/>
          <w:sz w:val="24"/>
        </w:rPr>
        <w:t>余人，具有检测方法的研究能力和试验仪器的研发能力</w:t>
      </w:r>
    </w:p>
    <w:p w14:paraId="270848C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189" w:rightChars="-90" w:firstLine="480" w:firstLineChars="200"/>
        <w:jc w:val="both"/>
        <w:textAlignment w:val="auto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中机检测以材料检测、零部件检测、计量校准作为主要发展方向，主要从事各类金属、非金属材料力学/环境测试分析，以及军工、核能、汽车、风电、轨道交通、轴承、工程等领域零部件及材料检测，同时可以进行各项计量器具/非标试验设备计量校准。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公司</w:t>
      </w:r>
      <w:r>
        <w:rPr>
          <w:rFonts w:hint="eastAsia" w:ascii="仿宋_GB2312" w:hAnsi="Times New Roman" w:eastAsia="仿宋_GB2312" w:cs="Times New Roman"/>
          <w:sz w:val="24"/>
        </w:rPr>
        <w:t>立足长春本部，在全国范围内认证多地点实验室或联合协作实验室，重点开发京津翼、长三角等区域，全局采用数字化管理，发挥各地差异化发展优势，提升为客户提供整套测试服务方案的能力与响应速度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。</w:t>
      </w:r>
    </w:p>
    <w:p w14:paraId="3D2DB4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189" w:rightChars="-90" w:firstLine="480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长春总部:开展材料检测服务、零部件检测服务、计量校准服务、试验设备检测服务等业务，利用信息化管理系统实行总部管理;</w:t>
      </w:r>
    </w:p>
    <w:p w14:paraId="662C73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189" w:rightChars="-90" w:firstLine="480" w:firstLineChars="200"/>
        <w:jc w:val="left"/>
        <w:textAlignment w:val="auto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北京分中心（平台窗口）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4"/>
        </w:rPr>
        <w:t>开展军工、核电、航空航天等领域的零部件和材料性能测试、材料延寿分析等业务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;</w:t>
      </w:r>
    </w:p>
    <w:p w14:paraId="4CAD9C0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189" w:rightChars="-90" w:firstLine="480" w:firstLineChars="200"/>
        <w:jc w:val="left"/>
        <w:textAlignment w:val="auto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无锡分中心:开展动静态材料测试、多环境耦合性能测试、汽车及轨道客车等零部件测试业务。</w:t>
      </w:r>
    </w:p>
    <w:p w14:paraId="79133ABC">
      <w:pPr>
        <w:widowControl/>
        <w:wordWrap w:val="0"/>
        <w:ind w:right="-189" w:rightChars="-90"/>
        <w:jc w:val="left"/>
        <w:rPr>
          <w:rFonts w:ascii="Times New Roman" w:hAnsi="Times New Roman" w:cs="Times New Roman"/>
        </w:rPr>
      </w:pPr>
    </w:p>
    <w:p w14:paraId="32BB701C">
      <w:pPr>
        <w:spacing w:line="5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检测能力分类</w:t>
      </w:r>
    </w:p>
    <w:p w14:paraId="4154DC2A">
      <w:pPr>
        <w:spacing w:line="500" w:lineRule="exact"/>
        <w:jc w:val="left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一、检测服务领域</w:t>
      </w:r>
    </w:p>
    <w:p w14:paraId="3813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多台套电子、机械式蠕变试验机、真空高温试验机，可以对材料的多种环境或特殊极限环境进行性能测试，涵盖蠕变、持久、松弛、拉伸、压缩、弯曲等试验能力，服务行业涵盖核能、航空航天、军工、轴承、汽车、风电、轨道交通、工程等领域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近4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00台套蠕变试验机及蠕变疲劳试验机，温度范围（300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-25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00）℃；也可根据客户需求进行设备扩展。</w:t>
      </w:r>
    </w:p>
    <w:p w14:paraId="6034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多台套、多规格动态疲劳试验机（MTS、INSTRON、国产中机试验）、高频试验机（Zwick、国产中机试验）,可以开展金属、非金属材料的高周、高温高周疲劳和室温及高温低周、高温应变疲劳、裂纹扩展速率试验（da/dN）、断裂韧度KIC、JIC、CTOD、门槛值ΔKth等疲劳性能测试。为航空航天、核电、火电、军工等领域材料研发测试提供数据，对材料延寿等性能进行分析，解决应变试验“卡脖子”关键问题。</w:t>
      </w:r>
    </w:p>
    <w:p w14:paraId="03B2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多台套电子万能试验机、液压万能试验机、旋转弯曲试验机、螺栓试验机、冲击试验机、扭转试验机等，可以开展材料的多种类型的材料力学性能试验，也可附加环境装置进行特殊氛围下的材料性能、零部件试验。</w:t>
      </w:r>
    </w:p>
    <w:p w14:paraId="0807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具备化学成分分析检测手段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拥有CS和ONH化学分析设备、电感耦合式ICP 设备可开展有机样品/无机样品的燃烧分析，测定无机样品中的氧、氮和氢元素含量。通过电阻炉和高频感应炉准确的分析碳和硫的含量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可以进行金属和非金属类材料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多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种元素的检测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</w:p>
    <w:p w14:paraId="02AA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5、拥有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25kN-5000kN静压作动器及摩擦副作动器多套，最高试验频率可达300Hz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1000Nm-50000Nm静压扭转作动器及摩擦副扭转作动器多套，最高试验频率可达100Hz；</w:t>
      </w:r>
    </w:p>
    <w:p w14:paraId="4D795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lang w:val="en-US" w:eastAsia="zh-CN"/>
        </w:rPr>
        <w:t>25kN-2000kN球铰支座，可进行多自由度试验台的灵活搭建；最大至4500kN大面积的加载平台及龙门架多套；峰值流量达到800L/min的集中油源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>配置了自主研发多通道控制器、美国MTS控制器、德国DOLI控制器、美国BISS控制器等，通道数达到64通道以上，具备常规波形、外部输入波形、路谱迭代等功能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</w:p>
    <w:p w14:paraId="620A8F46"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二、计量校准服务</w:t>
      </w:r>
    </w:p>
    <w:p w14:paraId="17F7A779"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1、常规校准业务：</w:t>
      </w:r>
    </w:p>
    <w:p w14:paraId="1B998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校准内容：具备长度、质量、热工、压力、温度、力值、同轴度、力值、速度</w:t>
      </w:r>
    </w:p>
    <w:p w14:paraId="734D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校准标准：美标校准、日标、欧标、英标、国际标准等</w:t>
      </w:r>
      <w:bookmarkStart w:id="0" w:name="_GoBack"/>
      <w:bookmarkEnd w:id="0"/>
    </w:p>
    <w:p w14:paraId="7E9D0FAD">
      <w:pPr>
        <w:numPr>
          <w:numId w:val="0"/>
        </w:num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2、设备校准业务：</w:t>
      </w:r>
    </w:p>
    <w:p w14:paraId="639B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校准内容：具备平衡机、无损检测设备、环境测试设备、 X射线探伤机、超声探伤仪、磁粉探伤机、超声测厚仪校准资质。拥有平衡机标委会，起草平衡机检测标准，在平衡机检测方面具备绝对优势具有各种常规试验机、非标试验机的计量校准能力、容量、移液器、化学方向。</w:t>
      </w:r>
    </w:p>
    <w:p w14:paraId="5FB0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校准标准：美标校准、日标、欧标、英标、国际标准等</w:t>
      </w:r>
    </w:p>
    <w:p w14:paraId="537B1033">
      <w:pPr>
        <w:numPr>
          <w:numId w:val="0"/>
        </w:numPr>
        <w:spacing w:line="500" w:lineRule="exact"/>
        <w:ind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3、交通方向校准业务：</w:t>
      </w:r>
    </w:p>
    <w:p w14:paraId="4C8B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校准内容：专用仪器校准、公路校准、建材等</w:t>
      </w:r>
    </w:p>
    <w:p w14:paraId="3C90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校准标准：规程规范等</w:t>
      </w:r>
    </w:p>
    <w:p w14:paraId="1A0FE203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主要检测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能力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1"/>
        <w:gridCol w:w="6789"/>
      </w:tblGrid>
      <w:tr w14:paraId="34FC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pct"/>
          </w:tcPr>
          <w:p w14:paraId="4274815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6" w:type="pct"/>
          </w:tcPr>
          <w:p w14:paraId="0A9210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675" w:type="pct"/>
          </w:tcPr>
          <w:p w14:paraId="2081F76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主要检测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服务</w:t>
            </w:r>
          </w:p>
        </w:tc>
      </w:tr>
      <w:tr w14:paraId="7A04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pct"/>
            <w:vAlign w:val="center"/>
          </w:tcPr>
          <w:p w14:paraId="56EC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56" w:type="pct"/>
            <w:vAlign w:val="center"/>
          </w:tcPr>
          <w:p w14:paraId="5DD4336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高温持久蠕变检测能力</w:t>
            </w:r>
          </w:p>
        </w:tc>
        <w:tc>
          <w:tcPr>
            <w:tcW w:w="3675" w:type="pct"/>
          </w:tcPr>
          <w:p w14:paraId="7E4B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能力：多台套电子、机械式蠕变试验机，可以对多种材料进行不同温度的高温性能测试，检测项目包括蠕变、持久、松弛、拉伸、压缩、弯曲等，服务行业涵盖核能、航空航天、军工、轴承、汽车、风电、轨道交通、工程等领域。</w:t>
            </w:r>
          </w:p>
          <w:p w14:paraId="3187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特色服务：根据材料特性配置各类陶瓷夹具，能够实现1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200℃持久蠕变测试能力；量身制作试验工装，实现极小尺寸试样的测试能力；解决持久蠕变测试当前技术难点。</w:t>
            </w:r>
          </w:p>
        </w:tc>
      </w:tr>
      <w:tr w14:paraId="6081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pct"/>
            <w:vAlign w:val="center"/>
          </w:tcPr>
          <w:p w14:paraId="1148BC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6" w:type="pct"/>
            <w:vAlign w:val="center"/>
          </w:tcPr>
          <w:p w14:paraId="4692D7A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疲劳断裂检测能力</w:t>
            </w:r>
          </w:p>
        </w:tc>
        <w:tc>
          <w:tcPr>
            <w:tcW w:w="3675" w:type="pct"/>
          </w:tcPr>
          <w:p w14:paraId="7D7B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能力：多台套、多规格电液伺服疲劳试验机、电子万能试验机,可以开展金属、非金属材料的高周、高温高周疲劳和室温及高温低周、高温应变疲劳、裂纹扩展速率试验（da/dN）、断裂韧度KIC、JIC、CTOD、门槛值ΔKth、静态试验等性能测试。服务行业涵盖核能、航空航天、军工、轴承、汽车、风电、轨道交通、工程等领域。</w:t>
            </w:r>
          </w:p>
          <w:p w14:paraId="5FD0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特色服务：专注于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金属材料及复合材料性能的检测，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具备材料的高低周疲劳、开孔拉伸及压缩、层间剪切、面内剪切等测试能力。</w:t>
            </w:r>
          </w:p>
        </w:tc>
      </w:tr>
      <w:tr w14:paraId="2155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pct"/>
            <w:vAlign w:val="center"/>
          </w:tcPr>
          <w:p w14:paraId="6CFD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6" w:type="pct"/>
            <w:vAlign w:val="center"/>
          </w:tcPr>
          <w:p w14:paraId="58B6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真空超高温检测能力</w:t>
            </w:r>
          </w:p>
        </w:tc>
        <w:tc>
          <w:tcPr>
            <w:tcW w:w="3675" w:type="pct"/>
          </w:tcPr>
          <w:p w14:paraId="42EA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能力：多台套真空高温试验机，可以在多种环境或特殊极限环境下进行性能测试，真空环境下最高温度可达2500℃，检测项目包括拉伸试验、压缩试验、弯曲试验、剪切试验、持久试验、蠕变试验等，服务行业涵盖核能、航空航天等领域。</w:t>
            </w:r>
          </w:p>
          <w:p w14:paraId="7161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特色服务：专业材料机理研究及工装设计团队，可根据材料特性量身制作试验工装夹具，适用于各种规格及异形样品，采用多手段实现超高温真空环境及各类气氛环境下的材料性能测试。</w:t>
            </w:r>
          </w:p>
        </w:tc>
      </w:tr>
    </w:tbl>
    <w:p w14:paraId="468E914C">
      <w:pPr>
        <w:wordWrap w:val="0"/>
        <w:jc w:val="center"/>
        <w:rPr>
          <w:rFonts w:ascii="Times New Roman" w:hAnsi="Times New Roman" w:cs="Times New Roman"/>
        </w:rPr>
      </w:pPr>
    </w:p>
    <w:sectPr>
      <w:headerReference r:id="rId3" w:type="default"/>
      <w:pgSz w:w="11904" w:h="16840" w:orient="landscape"/>
      <w:pgMar w:top="1797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81352"/>
      <w:docPartObj>
        <w:docPartGallery w:val="autotext"/>
      </w:docPartObj>
    </w:sdtPr>
    <w:sdtContent>
      <w:p w14:paraId="15F9FB24">
        <w:pPr>
          <w:ind w:left="708" w:leftChars="337"/>
          <w:rPr>
            <w:rFonts w:hint="eastAsia" w:ascii="Times New Roman" w:hAnsi="Times New Roman" w:eastAsia="宋体" w:cs="Times New Roman"/>
            <w:sz w:val="18"/>
            <w:szCs w:val="18"/>
            <w:lang w:val="de-DE"/>
          </w:rPr>
        </w:pPr>
        <w:r>
          <w:rPr>
            <w:rFonts w:hint="eastAsia" w:ascii="Times New Roman" w:hAnsi="Times New Roman" w:eastAsia="宋体" w:cs="Times New Roman"/>
            <w:sz w:val="18"/>
            <w:szCs w:val="18"/>
            <w:lang w:val="de-DE"/>
          </w:rPr>
          <w:t>中机检测有限公司</w:t>
        </w:r>
      </w:p>
      <w:p w14:paraId="55BC4AAA">
        <w:pPr>
          <w:ind w:left="708" w:leftChars="337"/>
          <w:rPr>
            <w:rFonts w:hint="eastAsia" w:ascii="Times New Roman" w:hAnsi="Times New Roman" w:eastAsia="宋体" w:cs="Times New Roman"/>
            <w:sz w:val="18"/>
            <w:szCs w:val="18"/>
            <w:lang w:val="de-DE"/>
          </w:rPr>
        </w:pPr>
        <w:r>
          <w:rPr>
            <w:rFonts w:hint="eastAsia" w:ascii="Times New Roman" w:hAnsi="Times New Roman" w:eastAsia="宋体" w:cs="Times New Roman"/>
            <w:sz w:val="18"/>
            <w:szCs w:val="18"/>
            <w:lang w:val="de-DE"/>
          </w:rPr>
          <w:t>国家试验机质量检验检测中心</w:t>
        </w:r>
      </w:p>
      <w:p w14:paraId="0AB8E39F">
        <w:pPr>
          <w:ind w:left="708" w:leftChars="337"/>
          <w:rPr>
            <w:rFonts w:hint="default" w:ascii="Times New Roman" w:hAnsi="Times New Roman" w:eastAsia="宋体" w:cs="Times New Roman"/>
            <w:sz w:val="18"/>
            <w:szCs w:val="18"/>
            <w:lang w:val="en-US" w:eastAsia="zh-CN"/>
          </w:rPr>
        </w:pPr>
        <w:r>
          <w:rPr>
            <w:rFonts w:hint="eastAsia" w:ascii="Times New Roman" w:hAnsi="Times New Roman" w:eastAsia="宋体" w:cs="Times New Roman"/>
            <w:sz w:val="18"/>
            <w:szCs w:val="18"/>
            <w:lang w:val="en-US" w:eastAsia="zh-CN"/>
          </w:rPr>
          <w:t>Zhong Ji Testing Co.,Ltd</w:t>
        </w:r>
      </w:p>
      <w:p w14:paraId="2134556B">
        <w:pPr>
          <w:ind w:left="708" w:leftChars="337"/>
          <w:rPr>
            <w:rFonts w:ascii="Times New Roman" w:hAnsi="Times New Roman" w:eastAsia="宋体" w:cs="Times New Roman"/>
            <w:sz w:val="18"/>
            <w:szCs w:val="18"/>
            <w:lang w:val="de-DE"/>
          </w:rPr>
        </w:pPr>
        <w:r>
          <w:rPr>
            <w:rFonts w:hint="eastAsia" w:ascii="Times New Roman" w:hAnsi="Times New Roman" w:eastAsia="宋体" w:cs="Times New Roman"/>
            <w:sz w:val="18"/>
            <w:szCs w:val="18"/>
            <w:lang w:val="de-DE"/>
          </w:rPr>
          <w:t>National testing machine quality inspection and testing center</w:t>
        </w:r>
      </w:p>
      <w:tbl>
        <w:tblPr>
          <w:tblStyle w:val="4"/>
          <w:tblW w:w="8505" w:type="dxa"/>
          <w:jc w:val="center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12" w:space="0"/>
            <w:insideV w:val="single" w:color="000000" w:sz="8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386"/>
          <w:gridCol w:w="3512"/>
          <w:gridCol w:w="3607"/>
        </w:tblGrid>
        <w:tr w14:paraId="6670E9EC">
          <w:tblPrEx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12" w:space="0"/>
              <w:insideV w:val="single" w:color="000000" w:sz="8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trHeight w:val="538" w:hRule="atLeast"/>
            <w:jc w:val="center"/>
          </w:trPr>
          <w:tc>
            <w:tcPr>
              <w:tcW w:w="1386" w:type="dxa"/>
              <w:shd w:val="clear" w:color="auto" w:fill="auto"/>
              <w:vAlign w:val="center"/>
            </w:tcPr>
            <w:p w14:paraId="29A9E80B">
              <w:pPr>
                <w:ind w:left="-107" w:leftChars="-51" w:firstLine="141" w:firstLineChars="100"/>
                <w:jc w:val="center"/>
                <w:rPr>
                  <w:rFonts w:ascii="Times New Roman" w:hAnsi="Times New Roman" w:eastAsia="宋体" w:cs="Times New Roman"/>
                  <w:color w:val="000000"/>
                  <w:sz w:val="14"/>
                  <w:szCs w:val="14"/>
                </w:rPr>
              </w:pPr>
              <w:r>
                <w:rPr>
                  <w:rFonts w:ascii="Times New Roman" w:hAnsi="Times New Roman" w:eastAsia="宋体" w:cs="Times New Roman"/>
                  <w:b/>
                  <w:color w:val="000000"/>
                  <w:sz w:val="14"/>
                  <w:szCs w:val="14"/>
                </w:rPr>
                <w:t>地  址Address</w:t>
              </w:r>
              <w:r>
                <w:rPr>
                  <w:rFonts w:ascii="Times New Roman" w:hAnsi="Times New Roman" w:eastAsia="宋体" w:cs="Times New Roman"/>
                  <w:color w:val="000000"/>
                  <w:sz w:val="14"/>
                  <w:szCs w:val="14"/>
                </w:rPr>
                <w:t>：</w:t>
              </w:r>
            </w:p>
          </w:tc>
          <w:tc>
            <w:tcPr>
              <w:tcW w:w="3512" w:type="dxa"/>
              <w:shd w:val="clear" w:color="auto" w:fill="auto"/>
              <w:vAlign w:val="center"/>
            </w:tcPr>
            <w:p w14:paraId="446B2AFA">
              <w:pPr>
                <w:keepNext w:val="0"/>
                <w:keepLines w:val="0"/>
                <w:pageBreakBefore w:val="0"/>
                <w:widowControl w:val="0"/>
                <w:kinsoku/>
                <w:wordWrap/>
                <w:overflowPunct/>
                <w:topLinePunct w:val="0"/>
                <w:autoSpaceDE w:val="0"/>
                <w:autoSpaceDN w:val="0"/>
                <w:bidi w:val="0"/>
                <w:adjustRightInd w:val="0"/>
                <w:snapToGrid w:val="0"/>
                <w:spacing w:line="240" w:lineRule="auto"/>
                <w:ind w:left="0" w:leftChars="0"/>
                <w:jc w:val="both"/>
                <w:textAlignment w:val="auto"/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</w:pP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  <w:t>中国·吉林省长春市越达路1118号</w:t>
              </w:r>
            </w:p>
            <w:p w14:paraId="12889807">
              <w:pPr>
                <w:keepNext w:val="0"/>
                <w:keepLines w:val="0"/>
                <w:pageBreakBefore w:val="0"/>
                <w:widowControl w:val="0"/>
                <w:kinsoku/>
                <w:wordWrap/>
                <w:overflowPunct/>
                <w:topLinePunct w:val="0"/>
                <w:autoSpaceDE w:val="0"/>
                <w:autoSpaceDN w:val="0"/>
                <w:bidi w:val="0"/>
                <w:adjustRightInd w:val="0"/>
                <w:snapToGrid w:val="0"/>
                <w:spacing w:line="240" w:lineRule="auto"/>
                <w:ind w:left="0" w:leftChars="0"/>
                <w:jc w:val="both"/>
                <w:textAlignment w:val="auto"/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</w:pP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  <w:t>1118# Yueda Road,Changchun,Jilin,P.R.China</w:t>
              </w:r>
            </w:p>
          </w:tc>
          <w:tc>
            <w:tcPr>
              <w:tcW w:w="3607" w:type="dxa"/>
              <w:shd w:val="clear" w:color="auto" w:fill="auto"/>
              <w:vAlign w:val="center"/>
            </w:tcPr>
            <w:p w14:paraId="67C5CCAD">
              <w:pPr>
                <w:keepNext w:val="0"/>
                <w:keepLines w:val="0"/>
                <w:pageBreakBefore w:val="0"/>
                <w:widowControl w:val="0"/>
                <w:kinsoku/>
                <w:wordWrap/>
                <w:overflowPunct/>
                <w:topLinePunct w:val="0"/>
                <w:autoSpaceDE w:val="0"/>
                <w:autoSpaceDN w:val="0"/>
                <w:bidi w:val="0"/>
                <w:adjustRightInd w:val="0"/>
                <w:snapToGrid w:val="0"/>
                <w:spacing w:before="40" w:line="240" w:lineRule="auto"/>
                <w:ind w:left="-44" w:leftChars="-21" w:right="-170"/>
                <w:jc w:val="both"/>
                <w:textAlignment w:val="auto"/>
                <w:rPr>
                  <w:rFonts w:hint="default" w:ascii="Times New Roman" w:hAnsi="Times New Roman" w:eastAsia="宋体" w:cs="Times New Roman"/>
                  <w:color w:val="000000"/>
                  <w:sz w:val="14"/>
                  <w:szCs w:val="14"/>
                  <w:lang w:val="en-US" w:eastAsia="zh-CN"/>
                </w:rPr>
              </w:pPr>
              <w:r>
                <w:rPr>
                  <w:rFonts w:ascii="Times New Roman" w:hAnsi="Times New Roman" w:eastAsia="宋体" w:cs="Times New Roman"/>
                  <w:b/>
                  <w:bCs/>
                  <w:iCs/>
                  <w:sz w:val="14"/>
                  <w:szCs w:val="14"/>
                </w:rPr>
                <w:t>服务电话</w:t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iCs/>
                  <w:sz w:val="14"/>
                  <w:szCs w:val="14"/>
                  <w:lang w:val="en-US" w:eastAsia="zh-CN"/>
                </w:rPr>
                <w:t xml:space="preserve"> </w:t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iCs/>
                  <w:sz w:val="14"/>
                  <w:szCs w:val="14"/>
                </w:rPr>
                <w:t>：</w:t>
              </w: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  <w:t xml:space="preserve">18801171779 </w:t>
              </w: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  <w:lang w:eastAsia="zh-CN"/>
                </w:rPr>
                <w:t>；</w:t>
              </w: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  <w:lang w:val="en-US" w:eastAsia="zh-CN"/>
                </w:rPr>
                <w:t>18660046348</w:t>
              </w:r>
            </w:p>
            <w:p w14:paraId="70116587">
              <w:pPr>
                <w:keepNext w:val="0"/>
                <w:keepLines w:val="0"/>
                <w:pageBreakBefore w:val="0"/>
                <w:widowControl w:val="0"/>
                <w:kinsoku/>
                <w:wordWrap/>
                <w:overflowPunct/>
                <w:topLinePunct w:val="0"/>
                <w:autoSpaceDE w:val="0"/>
                <w:autoSpaceDN w:val="0"/>
                <w:bidi w:val="0"/>
                <w:adjustRightInd w:val="0"/>
                <w:snapToGrid w:val="0"/>
                <w:spacing w:line="240" w:lineRule="auto"/>
                <w:ind w:left="-44" w:leftChars="-21"/>
                <w:jc w:val="both"/>
                <w:textAlignment w:val="auto"/>
                <w:rPr>
                  <w:rFonts w:ascii="Times New Roman" w:hAnsi="Times New Roman" w:cs="Times New Roman"/>
                  <w:bCs/>
                  <w:iCs/>
                  <w:color w:val="0000FF"/>
                  <w:sz w:val="14"/>
                  <w:szCs w:val="14"/>
                </w:rPr>
              </w:pPr>
              <w:r>
                <w:rPr>
                  <w:rFonts w:hint="eastAsia" w:ascii="Times New Roman" w:hAnsi="Times New Roman" w:eastAsia="宋体" w:cs="Times New Roman"/>
                  <w:b/>
                  <w:bCs/>
                  <w:iCs/>
                  <w:sz w:val="14"/>
                  <w:szCs w:val="14"/>
                  <w:lang w:val="en-US" w:eastAsia="zh-CN"/>
                </w:rPr>
                <w:t>服务</w:t>
              </w:r>
              <w:r>
                <w:rPr>
                  <w:rFonts w:ascii="Times New Roman" w:hAnsi="Times New Roman" w:eastAsia="宋体" w:cs="Times New Roman"/>
                  <w:b/>
                  <w:bCs/>
                  <w:iCs/>
                  <w:sz w:val="14"/>
                  <w:szCs w:val="14"/>
                </w:rPr>
                <w:t>邮箱 :</w:t>
              </w:r>
              <w:r>
                <w:rPr>
                  <w:rFonts w:ascii="Times New Roman" w:hAnsi="Times New Roman" w:cs="Times New Roman"/>
                  <w:b/>
                  <w:bCs/>
                  <w:iCs/>
                  <w:sz w:val="14"/>
                  <w:szCs w:val="14"/>
                </w:rPr>
                <w:t xml:space="preserve"> </w:t>
              </w:r>
              <w:r>
                <w:rPr>
                  <w:rFonts w:hint="eastAsia" w:ascii="Times New Roman" w:hAnsi="Times New Roman" w:cs="Times New Roman"/>
                  <w:b/>
                  <w:bCs/>
                  <w:iCs/>
                  <w:sz w:val="14"/>
                  <w:szCs w:val="14"/>
                  <w:lang w:val="en-US" w:eastAsia="zh-CN"/>
                </w:rPr>
                <w:t xml:space="preserve"> </w:t>
              </w:r>
              <w:r>
                <w:rPr>
                  <w:rFonts w:hint="eastAsia" w:ascii="Times New Roman" w:hAnsi="Times New Roman" w:eastAsia="宋体" w:cs="Times New Roman"/>
                  <w:color w:val="000000"/>
                  <w:sz w:val="14"/>
                  <w:szCs w:val="14"/>
                </w:rPr>
                <w:t>cmtesting@163.com</w:t>
              </w:r>
            </w:p>
          </w:tc>
        </w:tr>
      </w:tbl>
      <w:p w14:paraId="14CAE292">
        <w:pPr>
          <w:ind w:left="567" w:leftChars="270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bookFoldPrinting w:val="1"/>
  <w:bookFoldPrintingSheets w:val="-4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hZDQ0MjQyZDg3N2MzY2FlNTg2MWZjZWJlYzdlNjgifQ=="/>
  </w:docVars>
  <w:rsids>
    <w:rsidRoot w:val="00263631"/>
    <w:rsid w:val="000A1A39"/>
    <w:rsid w:val="000B5A66"/>
    <w:rsid w:val="000C4852"/>
    <w:rsid w:val="00133A44"/>
    <w:rsid w:val="001A41CB"/>
    <w:rsid w:val="001B40C9"/>
    <w:rsid w:val="00263631"/>
    <w:rsid w:val="00533646"/>
    <w:rsid w:val="00556927"/>
    <w:rsid w:val="005C5EEF"/>
    <w:rsid w:val="005D546A"/>
    <w:rsid w:val="00670669"/>
    <w:rsid w:val="006C49C1"/>
    <w:rsid w:val="006E6E6C"/>
    <w:rsid w:val="008C0C1A"/>
    <w:rsid w:val="009A7632"/>
    <w:rsid w:val="00A206D8"/>
    <w:rsid w:val="00A72156"/>
    <w:rsid w:val="00A8040D"/>
    <w:rsid w:val="00A81049"/>
    <w:rsid w:val="00A85544"/>
    <w:rsid w:val="00AC50FE"/>
    <w:rsid w:val="00AD3990"/>
    <w:rsid w:val="00AD5020"/>
    <w:rsid w:val="00B312BF"/>
    <w:rsid w:val="00B533E9"/>
    <w:rsid w:val="00BD3E8F"/>
    <w:rsid w:val="00C24A31"/>
    <w:rsid w:val="00C86F89"/>
    <w:rsid w:val="00D00173"/>
    <w:rsid w:val="00D15D58"/>
    <w:rsid w:val="00D53175"/>
    <w:rsid w:val="00EB74C7"/>
    <w:rsid w:val="00ED7344"/>
    <w:rsid w:val="00F76738"/>
    <w:rsid w:val="00F85688"/>
    <w:rsid w:val="00FD2149"/>
    <w:rsid w:val="027C4CDF"/>
    <w:rsid w:val="03E01A88"/>
    <w:rsid w:val="04042F6F"/>
    <w:rsid w:val="062E6C7E"/>
    <w:rsid w:val="08263014"/>
    <w:rsid w:val="083A3A0A"/>
    <w:rsid w:val="0B46428D"/>
    <w:rsid w:val="0CC73EE7"/>
    <w:rsid w:val="0D7336B7"/>
    <w:rsid w:val="0DB25F8E"/>
    <w:rsid w:val="0FE5574D"/>
    <w:rsid w:val="11CB7313"/>
    <w:rsid w:val="11CE7629"/>
    <w:rsid w:val="14EF52D3"/>
    <w:rsid w:val="15653949"/>
    <w:rsid w:val="1B763DC9"/>
    <w:rsid w:val="1BA54847"/>
    <w:rsid w:val="1C36475E"/>
    <w:rsid w:val="1CE943ED"/>
    <w:rsid w:val="1D0B55B9"/>
    <w:rsid w:val="1D6F227C"/>
    <w:rsid w:val="1E5B5444"/>
    <w:rsid w:val="1F05527E"/>
    <w:rsid w:val="1F9A5771"/>
    <w:rsid w:val="20706FE9"/>
    <w:rsid w:val="24D67A1F"/>
    <w:rsid w:val="25630234"/>
    <w:rsid w:val="295B3290"/>
    <w:rsid w:val="3055412C"/>
    <w:rsid w:val="30BF439A"/>
    <w:rsid w:val="323904EC"/>
    <w:rsid w:val="337A6C9E"/>
    <w:rsid w:val="3635536D"/>
    <w:rsid w:val="38975BFC"/>
    <w:rsid w:val="3AB55180"/>
    <w:rsid w:val="3C2671AD"/>
    <w:rsid w:val="3ED02E1A"/>
    <w:rsid w:val="451333CC"/>
    <w:rsid w:val="452777B9"/>
    <w:rsid w:val="4819662E"/>
    <w:rsid w:val="4A027732"/>
    <w:rsid w:val="4D0136EC"/>
    <w:rsid w:val="4E53036B"/>
    <w:rsid w:val="4FB10F96"/>
    <w:rsid w:val="505E6455"/>
    <w:rsid w:val="597B6DF2"/>
    <w:rsid w:val="5A06145E"/>
    <w:rsid w:val="5AD167DA"/>
    <w:rsid w:val="5B444423"/>
    <w:rsid w:val="5C003248"/>
    <w:rsid w:val="5CBC3D00"/>
    <w:rsid w:val="5E655BFE"/>
    <w:rsid w:val="6485497B"/>
    <w:rsid w:val="655B4BDA"/>
    <w:rsid w:val="671D183F"/>
    <w:rsid w:val="67E8427B"/>
    <w:rsid w:val="68371B3A"/>
    <w:rsid w:val="697A50A9"/>
    <w:rsid w:val="69A3778E"/>
    <w:rsid w:val="69AD270D"/>
    <w:rsid w:val="6BF43BAA"/>
    <w:rsid w:val="729C2264"/>
    <w:rsid w:val="760A33BE"/>
    <w:rsid w:val="764D788C"/>
    <w:rsid w:val="7A6242A9"/>
    <w:rsid w:val="7DC878B1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0"/>
    <w:rPr>
      <w:i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2531</Words>
  <Characters>2654</Characters>
  <Lines>19</Lines>
  <Paragraphs>5</Paragraphs>
  <TotalTime>2</TotalTime>
  <ScaleCrop>false</ScaleCrop>
  <LinksUpToDate>false</LinksUpToDate>
  <CharactersWithSpaces>2676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2024-04-28T08:43:00Z</dcterms:created>
  <dc:creator>Administrator</dc:creator>
  <cp:lastModifiedBy>@落无痕@</cp:lastModifiedBy>
  <cp:lastPrinted>2024-04-30T06:59:00Z</cp:lastPrinted>
  <dcterms:modified xsi:type="dcterms:W3CDTF">2024-12-22T08:24:29Z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A471972D9068404799100C31C0AEE701_13</vt:lpwstr>
  </property>
</Properties>
</file>