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</w:p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</w:p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</w:p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</w:p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</w:p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  <w:t>实验室安全准入考试系统</w:t>
      </w:r>
    </w:p>
    <w:p>
      <w:pPr>
        <w:bidi w:val="0"/>
        <w:jc w:val="center"/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</w:pPr>
    </w:p>
    <w:p>
      <w:pPr>
        <w:bidi w:val="0"/>
        <w:jc w:val="center"/>
        <w:rPr>
          <w:rFonts w:hint="eastAsia" w:ascii="仿宋" w:hAnsi="仿宋" w:eastAsia="仿宋" w:cs="仿宋"/>
          <w:sz w:val="32"/>
          <w:szCs w:val="36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36"/>
          <w:szCs w:val="40"/>
          <w:highlight w:val="none"/>
          <w:lang w:val="en-US" w:eastAsia="zh-Hans"/>
        </w:rPr>
        <w:t>操作手册</w:t>
      </w: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both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</w:p>
    <w:p>
      <w:pPr>
        <w:jc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  <w:t>天津市晟科思科技发展有限公司</w:t>
      </w:r>
    </w:p>
    <w:p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Hans"/>
        </w:rPr>
        <w:br w:type="page"/>
      </w:r>
    </w:p>
    <w:sdt>
      <w:sdtP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 w:bidi="ar-SA"/>
        </w:rPr>
        <w:id w:val="92813828"/>
        <w15:color w:val="DBDBDB"/>
      </w:sdtPr>
      <w:sdtEndPr>
        <w:rPr>
          <w:rFonts w:hint="eastAsia" w:ascii="仿宋" w:hAnsi="仿宋" w:eastAsia="仿宋" w:cs="仿宋"/>
          <w:kern w:val="2"/>
          <w:sz w:val="21"/>
          <w:szCs w:val="28"/>
          <w:highlight w:val="none"/>
          <w:lang w:val="en-US" w:eastAsia="zh-Hans" w:bidi="ar-SA"/>
        </w:rPr>
      </w:sdtEndPr>
      <w:sdtContent>
        <w:p>
          <w:pPr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rPr>
              <w:rFonts w:hint="eastAsia" w:ascii="仿宋" w:hAnsi="仿宋" w:eastAsia="仿宋" w:cs="仿宋"/>
              <w:sz w:val="24"/>
              <w:szCs w:val="24"/>
              <w:highlight w:val="none"/>
            </w:rPr>
          </w:pPr>
          <w:r>
            <w:rPr>
              <w:rFonts w:hint="eastAsia" w:ascii="仿宋" w:hAnsi="仿宋" w:eastAsia="仿宋" w:cs="仿宋"/>
              <w:sz w:val="24"/>
              <w:szCs w:val="24"/>
              <w:highlight w:val="none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 w:val="24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 w:val="24"/>
              <w:szCs w:val="24"/>
              <w:highlight w:val="none"/>
              <w:lang w:val="en-US" w:eastAsia="zh-Hans"/>
            </w:rPr>
            <w:instrText xml:space="preserve">TOC \o "1-3" \h \u </w:instrText>
          </w:r>
          <w:r>
            <w:rPr>
              <w:rFonts w:hint="eastAsia" w:ascii="仿宋" w:hAnsi="仿宋" w:eastAsia="仿宋" w:cs="仿宋"/>
              <w:sz w:val="24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_Toc8149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eastAsia" w:ascii="仿宋" w:hAnsi="仿宋" w:eastAsia="仿宋" w:cs="仿宋"/>
              <w:szCs w:val="32"/>
              <w:highlight w:val="none"/>
              <w:lang w:val="en-US" w:eastAsia="zh-Hans"/>
            </w:rPr>
            <w:t>一、管理员操作</w:t>
          </w:r>
          <w:r>
            <w:tab/>
          </w:r>
          <w:r>
            <w:fldChar w:fldCharType="begin"/>
          </w:r>
          <w:r>
            <w:instrText xml:space="preserve"> PAGEREF _Toc8149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_Toc13140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eastAsia" w:ascii="仿宋" w:hAnsi="仿宋" w:eastAsia="仿宋" w:cs="仿宋"/>
              <w:szCs w:val="20"/>
              <w:highlight w:val="none"/>
            </w:rPr>
            <w:t>1.1</w:t>
          </w:r>
          <w:r>
            <w:rPr>
              <w:rFonts w:hint="eastAsia" w:ascii="仿宋" w:hAnsi="仿宋" w:eastAsia="仿宋" w:cs="仿宋"/>
              <w:szCs w:val="20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0"/>
              <w:highlight w:val="none"/>
            </w:rPr>
            <w:t>登录</w:t>
          </w:r>
          <w:r>
            <w:rPr>
              <w:rFonts w:hint="eastAsia" w:ascii="仿宋" w:hAnsi="仿宋" w:eastAsia="仿宋" w:cs="仿宋"/>
              <w:szCs w:val="20"/>
              <w:highlight w:val="none"/>
              <w:lang w:val="en-US" w:eastAsia="zh-Hans"/>
            </w:rPr>
            <w:t>方式（使用</w:t>
          </w:r>
          <w:r>
            <w:rPr>
              <w:rFonts w:hint="default" w:ascii="仿宋" w:hAnsi="仿宋" w:eastAsia="仿宋" w:cs="仿宋"/>
              <w:szCs w:val="20"/>
              <w:highlight w:val="none"/>
              <w:lang w:eastAsia="zh-Hans"/>
            </w:rPr>
            <w:t>360</w:t>
          </w:r>
          <w:r>
            <w:rPr>
              <w:rFonts w:hint="eastAsia" w:ascii="仿宋" w:hAnsi="仿宋" w:eastAsia="仿宋" w:cs="仿宋"/>
              <w:szCs w:val="20"/>
              <w:highlight w:val="none"/>
              <w:lang w:val="en-US" w:eastAsia="zh-Hans"/>
            </w:rPr>
            <w:t>浏览器</w:t>
          </w:r>
          <w:r>
            <w:rPr>
              <w:rFonts w:hint="eastAsia" w:ascii="仿宋" w:hAnsi="仿宋" w:eastAsia="仿宋" w:cs="仿宋"/>
              <w:szCs w:val="20"/>
              <w:highlight w:val="none"/>
              <w:lang w:val="en-US" w:eastAsia="zh-CN"/>
            </w:rPr>
            <w:t>极速模式</w:t>
          </w:r>
          <w:r>
            <w:rPr>
              <w:rFonts w:hint="eastAsia" w:ascii="仿宋" w:hAnsi="仿宋" w:eastAsia="仿宋" w:cs="仿宋"/>
              <w:szCs w:val="20"/>
              <w:highlight w:val="none"/>
              <w:lang w:val="en-US" w:eastAsia="zh-Hans"/>
            </w:rPr>
            <w:t>或谷歌chrome浏览器登录系统）</w:t>
          </w:r>
          <w:r>
            <w:tab/>
          </w:r>
          <w:r>
            <w:fldChar w:fldCharType="begin"/>
          </w:r>
          <w:r>
            <w:instrText xml:space="preserve"> PAGEREF _Toc13140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_Toc11874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0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0"/>
              <w:highlight w:val="none"/>
            </w:rPr>
            <w:t>2</w:t>
          </w:r>
          <w:r>
            <w:rPr>
              <w:rFonts w:hint="eastAsia" w:ascii="仿宋" w:hAnsi="仿宋" w:eastAsia="仿宋" w:cs="仿宋"/>
              <w:szCs w:val="20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0"/>
              <w:highlight w:val="none"/>
            </w:rPr>
            <w:t>首页</w:t>
          </w:r>
          <w:r>
            <w:tab/>
          </w:r>
          <w:r>
            <w:fldChar w:fldCharType="begin"/>
          </w:r>
          <w:r>
            <w:instrText xml:space="preserve"> PAGEREF _Toc11874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_Toc16262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eastAsia" w:ascii="仿宋" w:hAnsi="仿宋" w:eastAsia="仿宋" w:cs="仿宋"/>
              <w:kern w:val="2"/>
              <w:szCs w:val="20"/>
              <w:highlight w:val="none"/>
              <w:lang w:val="en-US" w:eastAsia="zh-CN" w:bidi="ar-SA"/>
            </w:rPr>
            <w:t>1.3、个人信息</w:t>
          </w:r>
          <w:r>
            <w:tab/>
          </w:r>
          <w:r>
            <w:fldChar w:fldCharType="begin"/>
          </w:r>
          <w:r>
            <w:instrText xml:space="preserve"> PAGEREF _Toc16262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_Toc23652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0"/>
              <w:highlight w:val="none"/>
              <w:lang w:eastAsia="zh-CN"/>
            </w:rPr>
            <w:t>1.</w:t>
          </w:r>
          <w:r>
            <w:rPr>
              <w:rFonts w:hint="eastAsia" w:ascii="仿宋" w:hAnsi="仿宋" w:eastAsia="仿宋" w:cs="仿宋"/>
              <w:szCs w:val="20"/>
              <w:highlight w:val="none"/>
              <w:lang w:val="en-US" w:eastAsia="zh-CN"/>
            </w:rPr>
            <w:t>4</w:t>
          </w:r>
          <w:r>
            <w:rPr>
              <w:rFonts w:hint="eastAsia" w:ascii="仿宋" w:hAnsi="仿宋" w:eastAsia="仿宋" w:cs="仿宋"/>
              <w:szCs w:val="20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0"/>
              <w:highlight w:val="none"/>
              <w:lang w:val="en-US" w:eastAsia="zh-CN"/>
            </w:rPr>
            <w:t>基础信息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（仅校级管理员具备此功能菜单）</w:t>
          </w:r>
          <w:r>
            <w:tab/>
          </w:r>
          <w:r>
            <w:fldChar w:fldCharType="begin"/>
          </w:r>
          <w:r>
            <w:instrText xml:space="preserve"> PAGEREF _Toc23652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_Toc20310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5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题库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管理</w:t>
          </w:r>
          <w:r>
            <w:tab/>
          </w:r>
          <w:r>
            <w:fldChar w:fldCharType="begin"/>
          </w:r>
          <w:r>
            <w:instrText xml:space="preserve"> PAGEREF _Toc20310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_Toc10892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6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考试设置（仅校级管理员具备此功能菜单）</w:t>
          </w:r>
          <w:r>
            <w:tab/>
          </w:r>
          <w:r>
            <w:fldChar w:fldCharType="begin"/>
          </w:r>
          <w:r>
            <w:instrText xml:space="preserve"> PAGEREF _Toc10892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_Toc2746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7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考试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管理</w:t>
          </w:r>
          <w:r>
            <w:tab/>
          </w:r>
          <w:r>
            <w:fldChar w:fldCharType="begin"/>
          </w:r>
          <w:r>
            <w:instrText xml:space="preserve"> PAGEREF _Toc2746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_Toc10991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8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试卷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管理</w:t>
          </w:r>
          <w:r>
            <w:tab/>
          </w:r>
          <w:r>
            <w:fldChar w:fldCharType="begin"/>
          </w:r>
          <w:r>
            <w:instrText xml:space="preserve"> PAGEREF _Toc10991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_Toc1407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9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学习管理</w:t>
          </w:r>
          <w:r>
            <w:tab/>
          </w:r>
          <w:r>
            <w:fldChar w:fldCharType="begin"/>
          </w:r>
          <w:r>
            <w:instrText xml:space="preserve"> PAGEREF _Toc1407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_Toc3061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10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培训管理</w:t>
          </w:r>
          <w:r>
            <w:tab/>
          </w:r>
          <w:r>
            <w:fldChar w:fldCharType="begin"/>
          </w:r>
          <w:r>
            <w:instrText xml:space="preserve"> PAGEREF _Toc3061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_Toc7955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11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安全课程（仅校级管理员具备此功能菜单）</w:t>
          </w:r>
          <w:r>
            <w:tab/>
          </w:r>
          <w:r>
            <w:fldChar w:fldCharType="begin"/>
          </w:r>
          <w:r>
            <w:instrText xml:space="preserve"> PAGEREF _Toc7955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_Toc30569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12</w:t>
          </w:r>
          <w:r>
            <w:rPr>
              <w:rFonts w:hint="eastAsia" w:ascii="仿宋" w:hAnsi="仿宋" w:eastAsia="仿宋" w:cs="仿宋"/>
              <w:szCs w:val="24"/>
              <w:highlight w:val="none"/>
              <w:lang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证书（仅校级管理员具备此功能菜单）</w:t>
          </w:r>
          <w:r>
            <w:tab/>
          </w:r>
          <w:r>
            <w:fldChar w:fldCharType="begin"/>
          </w:r>
          <w:r>
            <w:instrText xml:space="preserve"> PAGEREF _Toc30569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_Toc27076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  <w:lang w:val="en-US" w:eastAsia="zh-CN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13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考试轮播（仅校级管理员具备此功能菜单）</w:t>
          </w:r>
          <w:r>
            <w:tab/>
          </w:r>
          <w:r>
            <w:fldChar w:fldCharType="begin"/>
          </w:r>
          <w:r>
            <w:instrText xml:space="preserve"> PAGEREF _Toc27076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_Toc20302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  <w:lang w:val="en-US" w:eastAsia="zh-CN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14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信息发布</w:t>
          </w:r>
          <w:r>
            <w:tab/>
          </w:r>
          <w:r>
            <w:fldChar w:fldCharType="begin"/>
          </w:r>
          <w:r>
            <w:instrText xml:space="preserve"> PAGEREF _Toc20302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_Toc7373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  <w:lang w:val="en-US" w:eastAsia="zh-CN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15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用户管理（仅校级管理员具备此功能菜单）</w:t>
          </w:r>
          <w:r>
            <w:tab/>
          </w:r>
          <w:r>
            <w:fldChar w:fldCharType="begin"/>
          </w:r>
          <w:r>
            <w:instrText xml:space="preserve"> PAGEREF _Toc7373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_Toc24109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  <w:lang w:val="en-US" w:eastAsia="zh-CN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16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统计管理</w:t>
          </w:r>
          <w:r>
            <w:tab/>
          </w:r>
          <w:r>
            <w:fldChar w:fldCharType="begin"/>
          </w:r>
          <w:r>
            <w:instrText xml:space="preserve"> PAGEREF _Toc24109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_Toc28642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  <w:lang w:val="en-US" w:eastAsia="zh-CN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17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字典（仅校级管理员具备此功能菜单）</w:t>
          </w:r>
          <w:r>
            <w:tab/>
          </w:r>
          <w:r>
            <w:fldChar w:fldCharType="begin"/>
          </w:r>
          <w:r>
            <w:instrText xml:space="preserve"> PAGEREF _Toc28642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begin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instrText xml:space="preserve"> HYPERLINK \l _Toc32498 </w:instrTex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separate"/>
          </w:r>
          <w:r>
            <w:rPr>
              <w:rFonts w:hint="default" w:ascii="仿宋" w:hAnsi="仿宋" w:eastAsia="仿宋" w:cs="仿宋"/>
              <w:szCs w:val="24"/>
              <w:highlight w:val="none"/>
              <w:lang w:val="en-US" w:eastAsia="zh-CN"/>
            </w:rPr>
            <w:t>1.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18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t>、</w:t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CN"/>
            </w:rPr>
            <w:t>流程</w:t>
          </w:r>
          <w:r>
            <w:tab/>
          </w:r>
          <w:r>
            <w:fldChar w:fldCharType="begin"/>
          </w:r>
          <w:r>
            <w:instrText xml:space="preserve"> PAGEREF _Toc32498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  <w:p>
          <w:pPr>
            <w:spacing w:line="360" w:lineRule="auto"/>
            <w:jc w:val="center"/>
            <w:rPr>
              <w:rFonts w:hint="eastAsia" w:ascii="仿宋" w:hAnsi="仿宋" w:eastAsia="仿宋" w:cs="仿宋"/>
              <w:sz w:val="28"/>
              <w:szCs w:val="28"/>
              <w:highlight w:val="none"/>
              <w:lang w:val="en-US" w:eastAsia="zh-Hans"/>
            </w:rPr>
          </w:pPr>
          <w:r>
            <w:rPr>
              <w:rFonts w:hint="eastAsia" w:ascii="仿宋" w:hAnsi="仿宋" w:eastAsia="仿宋" w:cs="仿宋"/>
              <w:szCs w:val="24"/>
              <w:highlight w:val="none"/>
              <w:lang w:val="en-US" w:eastAsia="zh-Hans"/>
            </w:rPr>
            <w:fldChar w:fldCharType="end"/>
          </w:r>
        </w:p>
      </w:sdtContent>
    </w:sdt>
    <w:p>
      <w:pPr>
        <w:pStyle w:val="2"/>
        <w:bidi w:val="0"/>
        <w:rPr>
          <w:rFonts w:hint="eastAsia" w:ascii="仿宋" w:hAnsi="仿宋" w:eastAsia="仿宋" w:cs="仿宋"/>
          <w:sz w:val="32"/>
          <w:szCs w:val="32"/>
          <w:highlight w:val="none"/>
          <w:lang w:val="en-US" w:eastAsia="zh-Hans"/>
        </w:rPr>
      </w:pPr>
      <w:bookmarkStart w:id="0" w:name="_Toc8149"/>
      <w:r>
        <w:rPr>
          <w:rFonts w:hint="eastAsia" w:ascii="仿宋" w:hAnsi="仿宋" w:eastAsia="仿宋" w:cs="仿宋"/>
          <w:sz w:val="32"/>
          <w:szCs w:val="32"/>
          <w:highlight w:val="none"/>
          <w:lang w:val="en-US" w:eastAsia="zh-Hans"/>
        </w:rPr>
        <w:t>一、管理员操作</w:t>
      </w:r>
      <w:bookmarkEnd w:id="0"/>
    </w:p>
    <w:p>
      <w:pPr>
        <w:bidi w:val="0"/>
        <w:ind w:firstLine="420" w:firstLineChars="0"/>
        <w:rPr>
          <w:rFonts w:hint="eastAsia" w:ascii="仿宋" w:hAnsi="仿宋" w:eastAsia="仿宋" w:cs="仿宋"/>
          <w:sz w:val="24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8"/>
          <w:highlight w:val="none"/>
          <w:lang w:val="en-US" w:eastAsia="zh-Hans"/>
        </w:rPr>
        <w:t>以下展示系统</w:t>
      </w:r>
      <w:r>
        <w:rPr>
          <w:rFonts w:hint="eastAsia" w:ascii="仿宋" w:hAnsi="仿宋" w:eastAsia="仿宋" w:cs="仿宋"/>
          <w:sz w:val="24"/>
          <w:szCs w:val="28"/>
          <w:highlight w:val="none"/>
          <w:lang w:val="en-US" w:eastAsia="zh-CN"/>
        </w:rPr>
        <w:t>管理员</w:t>
      </w:r>
      <w:r>
        <w:rPr>
          <w:rFonts w:hint="eastAsia" w:ascii="仿宋" w:hAnsi="仿宋" w:eastAsia="仿宋" w:cs="仿宋"/>
          <w:sz w:val="24"/>
          <w:szCs w:val="28"/>
          <w:highlight w:val="none"/>
          <w:lang w:val="en-US" w:eastAsia="zh-Hans"/>
        </w:rPr>
        <w:t>、学院</w:t>
      </w:r>
      <w:r>
        <w:rPr>
          <w:rFonts w:hint="eastAsia" w:ascii="仿宋" w:hAnsi="仿宋" w:eastAsia="仿宋" w:cs="仿宋"/>
          <w:sz w:val="24"/>
          <w:szCs w:val="28"/>
          <w:highlight w:val="none"/>
          <w:lang w:val="en-US" w:eastAsia="zh-CN"/>
        </w:rPr>
        <w:t>出题人</w:t>
      </w:r>
      <w:r>
        <w:rPr>
          <w:rFonts w:hint="eastAsia" w:ascii="仿宋" w:hAnsi="仿宋" w:eastAsia="仿宋" w:cs="仿宋"/>
          <w:sz w:val="24"/>
          <w:szCs w:val="28"/>
          <w:highlight w:val="none"/>
          <w:lang w:val="en-US" w:eastAsia="zh-Hans"/>
        </w:rPr>
        <w:t>、学校出题人登录方式及操作流程。</w:t>
      </w:r>
    </w:p>
    <w:p>
      <w:pPr>
        <w:pStyle w:val="3"/>
        <w:bidi w:val="0"/>
        <w:spacing w:line="240" w:lineRule="auto"/>
        <w:rPr>
          <w:rFonts w:hint="eastAsia" w:ascii="仿宋" w:hAnsi="仿宋" w:eastAsia="仿宋" w:cs="仿宋"/>
          <w:sz w:val="24"/>
          <w:szCs w:val="20"/>
          <w:highlight w:val="none"/>
        </w:rPr>
      </w:pPr>
      <w:bookmarkStart w:id="1" w:name="_Toc13140"/>
      <w:r>
        <w:rPr>
          <w:rFonts w:hint="eastAsia" w:ascii="仿宋" w:hAnsi="仿宋" w:eastAsia="仿宋" w:cs="仿宋"/>
          <w:sz w:val="24"/>
          <w:szCs w:val="20"/>
          <w:highlight w:val="none"/>
        </w:rPr>
        <w:t>1.1</w:t>
      </w:r>
      <w:r>
        <w:rPr>
          <w:rFonts w:hint="eastAsia" w:ascii="仿宋" w:hAnsi="仿宋" w:eastAsia="仿宋" w:cs="仿宋"/>
          <w:sz w:val="24"/>
          <w:szCs w:val="20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0"/>
          <w:highlight w:val="none"/>
        </w:rPr>
        <w:t>登录</w:t>
      </w:r>
      <w:r>
        <w:rPr>
          <w:rFonts w:hint="eastAsia" w:ascii="仿宋" w:hAnsi="仿宋" w:eastAsia="仿宋" w:cs="仿宋"/>
          <w:sz w:val="24"/>
          <w:szCs w:val="20"/>
          <w:highlight w:val="none"/>
          <w:lang w:val="en-US" w:eastAsia="zh-Hans"/>
        </w:rPr>
        <w:t>方式（使用</w:t>
      </w:r>
      <w:r>
        <w:rPr>
          <w:rFonts w:hint="default" w:ascii="仿宋" w:hAnsi="仿宋" w:eastAsia="仿宋" w:cs="仿宋"/>
          <w:sz w:val="24"/>
          <w:szCs w:val="20"/>
          <w:highlight w:val="none"/>
          <w:lang w:eastAsia="zh-Hans"/>
        </w:rPr>
        <w:t>360</w:t>
      </w:r>
      <w:r>
        <w:rPr>
          <w:rFonts w:hint="eastAsia" w:ascii="仿宋" w:hAnsi="仿宋" w:eastAsia="仿宋" w:cs="仿宋"/>
          <w:sz w:val="24"/>
          <w:szCs w:val="20"/>
          <w:highlight w:val="none"/>
          <w:lang w:val="en-US" w:eastAsia="zh-Hans"/>
        </w:rPr>
        <w:t>浏览器</w:t>
      </w:r>
      <w:r>
        <w:rPr>
          <w:rFonts w:hint="eastAsia" w:ascii="仿宋" w:hAnsi="仿宋" w:eastAsia="仿宋" w:cs="仿宋"/>
          <w:sz w:val="24"/>
          <w:szCs w:val="20"/>
          <w:highlight w:val="none"/>
          <w:lang w:val="en-US" w:eastAsia="zh-CN"/>
        </w:rPr>
        <w:t>极速模式</w:t>
      </w:r>
      <w:r>
        <w:rPr>
          <w:rFonts w:hint="eastAsia" w:ascii="仿宋" w:hAnsi="仿宋" w:eastAsia="仿宋" w:cs="仿宋"/>
          <w:sz w:val="24"/>
          <w:szCs w:val="20"/>
          <w:highlight w:val="none"/>
          <w:lang w:val="en-US" w:eastAsia="zh-Hans"/>
        </w:rPr>
        <w:t>或谷歌chrome浏览器登录系统）</w:t>
      </w:r>
      <w:bookmarkEnd w:id="1"/>
    </w:p>
    <w:p>
      <w:pPr>
        <w:widowControl/>
        <w:spacing w:line="360" w:lineRule="auto"/>
        <w:ind w:firstLine="420" w:firstLineChars="0"/>
        <w:jc w:val="left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lang w:val="en-US" w:eastAsia="zh-CN"/>
        </w:rPr>
        <w:t>用IE9以上内核浏览器登录网址</w:t>
      </w:r>
    </w:p>
    <w:p>
      <w:pPr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br w:type="page"/>
      </w:r>
    </w:p>
    <w:p>
      <w:pPr>
        <w:pStyle w:val="3"/>
        <w:bidi w:val="0"/>
        <w:spacing w:line="240" w:lineRule="auto"/>
        <w:rPr>
          <w:rFonts w:hint="eastAsia" w:ascii="仿宋" w:hAnsi="仿宋" w:eastAsia="仿宋" w:cs="仿宋"/>
          <w:sz w:val="24"/>
          <w:szCs w:val="20"/>
          <w:highlight w:val="none"/>
        </w:rPr>
      </w:pPr>
      <w:bookmarkStart w:id="2" w:name="_Toc11874"/>
      <w:r>
        <w:rPr>
          <w:rFonts w:hint="default" w:ascii="仿宋" w:hAnsi="仿宋" w:eastAsia="仿宋" w:cs="仿宋"/>
          <w:sz w:val="24"/>
          <w:szCs w:val="20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0"/>
          <w:highlight w:val="none"/>
        </w:rPr>
        <w:t>2</w:t>
      </w:r>
      <w:r>
        <w:rPr>
          <w:rFonts w:hint="eastAsia" w:ascii="仿宋" w:hAnsi="仿宋" w:eastAsia="仿宋" w:cs="仿宋"/>
          <w:sz w:val="24"/>
          <w:szCs w:val="20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0"/>
          <w:highlight w:val="none"/>
        </w:rPr>
        <w:t>首页</w:t>
      </w:r>
      <w:bookmarkEnd w:id="2"/>
    </w:p>
    <w:p>
      <w:pPr>
        <w:widowControl/>
        <w:spacing w:line="360" w:lineRule="auto"/>
        <w:ind w:firstLine="420" w:firstLineChars="0"/>
        <w:jc w:val="left"/>
        <w:rPr>
          <w:rFonts w:hint="eastAsia" w:eastAsia="仿宋"/>
          <w:highlight w:val="none"/>
          <w:lang w:eastAsia="zh-CN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登录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lang w:val="en-US" w:eastAsia="zh-Hans"/>
        </w:rPr>
        <w:t>系统后，显示界面为系统首页，管理员及出题人通过右上方角色下拉菜单，切换角色进入系统管理后台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lang w:val="en-US" w:eastAsia="zh-CN"/>
        </w:rPr>
        <w:t>。</w:t>
      </w:r>
      <w:bookmarkStart w:id="19" w:name="_GoBack"/>
      <w:bookmarkEnd w:id="19"/>
    </w:p>
    <w:p>
      <w:pPr>
        <w:jc w:val="left"/>
        <w:rPr>
          <w:rFonts w:hint="eastAsia" w:ascii="仿宋" w:hAnsi="仿宋" w:eastAsia="仿宋" w:cs="仿宋"/>
          <w:sz w:val="22"/>
          <w:szCs w:val="24"/>
          <w:highlight w:val="none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jc w:val="center"/>
        <w:rPr>
          <w:rFonts w:hint="eastAsia" w:ascii="仿宋" w:hAnsi="仿宋" w:eastAsia="仿宋" w:cs="仿宋"/>
          <w:sz w:val="22"/>
          <w:szCs w:val="24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22"/>
          <w:szCs w:val="24"/>
          <w:highlight w:val="none"/>
          <w:lang w:eastAsia="zh-Hans"/>
        </w:rPr>
        <w:t>（</w:t>
      </w:r>
      <w:r>
        <w:rPr>
          <w:rFonts w:hint="eastAsia" w:ascii="仿宋" w:hAnsi="仿宋" w:eastAsia="仿宋" w:cs="仿宋"/>
          <w:sz w:val="22"/>
          <w:szCs w:val="24"/>
          <w:highlight w:val="none"/>
          <w:lang w:val="en-US" w:eastAsia="zh-Hans"/>
        </w:rPr>
        <w:t>角色切换菜单栏位置</w:t>
      </w:r>
      <w:r>
        <w:rPr>
          <w:rFonts w:hint="eastAsia" w:ascii="仿宋" w:hAnsi="仿宋" w:eastAsia="仿宋" w:cs="仿宋"/>
          <w:sz w:val="22"/>
          <w:szCs w:val="24"/>
          <w:highlight w:val="none"/>
          <w:lang w:eastAsia="zh-Hans"/>
        </w:rPr>
        <w:t>）</w:t>
      </w:r>
    </w:p>
    <w:p>
      <w:pPr>
        <w:widowControl/>
        <w:jc w:val="left"/>
        <w:rPr>
          <w:rFonts w:hint="eastAsia" w:ascii="仿宋" w:hAnsi="仿宋" w:eastAsia="仿宋" w:cs="仿宋"/>
          <w:sz w:val="22"/>
          <w:szCs w:val="24"/>
          <w:highlight w:val="none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sz w:val="22"/>
          <w:szCs w:val="24"/>
          <w:highlight w:val="none"/>
          <w:lang w:eastAsia="zh-Hans"/>
        </w:rPr>
        <w:t>（</w:t>
      </w:r>
      <w:r>
        <w:rPr>
          <w:rFonts w:hint="eastAsia" w:ascii="仿宋" w:hAnsi="仿宋" w:eastAsia="仿宋" w:cs="仿宋"/>
          <w:sz w:val="22"/>
          <w:szCs w:val="24"/>
          <w:highlight w:val="none"/>
          <w:lang w:val="en-US" w:eastAsia="zh-Hans"/>
        </w:rPr>
        <w:t>后台管理界面</w:t>
      </w:r>
      <w:r>
        <w:rPr>
          <w:rFonts w:hint="eastAsia" w:ascii="仿宋" w:hAnsi="仿宋" w:eastAsia="仿宋" w:cs="仿宋"/>
          <w:sz w:val="22"/>
          <w:szCs w:val="24"/>
          <w:highlight w:val="none"/>
          <w:lang w:eastAsia="zh-Hans"/>
        </w:rPr>
        <w:t>）</w:t>
      </w:r>
    </w:p>
    <w:p>
      <w:pPr>
        <w:pStyle w:val="3"/>
        <w:bidi w:val="0"/>
        <w:spacing w:line="240" w:lineRule="auto"/>
        <w:rPr>
          <w:rFonts w:hint="default" w:ascii="仿宋" w:hAnsi="仿宋" w:eastAsia="仿宋" w:cs="仿宋"/>
          <w:sz w:val="32"/>
          <w:szCs w:val="24"/>
          <w:highlight w:val="none"/>
          <w:lang w:val="en-US"/>
        </w:rPr>
      </w:pPr>
      <w:bookmarkStart w:id="3" w:name="_Toc16262"/>
      <w:r>
        <w:rPr>
          <w:rFonts w:hint="eastAsia" w:ascii="仿宋" w:hAnsi="仿宋" w:eastAsia="仿宋" w:cs="仿宋"/>
          <w:b/>
          <w:kern w:val="2"/>
          <w:sz w:val="24"/>
          <w:szCs w:val="20"/>
          <w:highlight w:val="none"/>
          <w:lang w:val="en-US" w:eastAsia="zh-CN" w:bidi="ar-SA"/>
        </w:rPr>
        <w:t>1.3、个人信息</w:t>
      </w:r>
      <w:bookmarkEnd w:id="3"/>
    </w:p>
    <w:p>
      <w:pPr>
        <w:widowControl/>
        <w:spacing w:line="360" w:lineRule="auto"/>
        <w:ind w:firstLine="420" w:firstLineChars="0"/>
        <w:jc w:val="left"/>
        <w:rPr>
          <w:rFonts w:hint="eastAsia" w:ascii="仿宋" w:hAnsi="仿宋" w:eastAsia="仿宋" w:cs="仿宋"/>
          <w:sz w:val="32"/>
          <w:szCs w:val="32"/>
          <w:highlight w:val="none"/>
        </w:rPr>
      </w:pPr>
      <w:r>
        <w:rPr>
          <w:rFonts w:hint="eastAsia"/>
          <w:lang w:val="en-US" w:eastAsia="zh-CN"/>
        </w:rPr>
        <w:t>切换到管理端后，系统显示界面为“个人信息”界面，“个人信息”界面管理端与首页展示的信息相同，都可看到个人的基础信息，以及学习课程和培训的统计情况。</w:t>
      </w:r>
      <w:r>
        <w:drawing>
          <wp:inline distT="0" distB="0" distL="114300" distR="114300">
            <wp:extent cx="5266690" cy="2614295"/>
            <wp:effectExtent l="0" t="0" r="10160" b="1460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仿宋" w:hAnsi="仿宋" w:eastAsia="仿宋" w:cs="仿宋"/>
          <w:sz w:val="32"/>
          <w:szCs w:val="32"/>
          <w:highlight w:val="none"/>
        </w:rPr>
      </w:pPr>
    </w:p>
    <w:p>
      <w:pPr>
        <w:pStyle w:val="3"/>
        <w:bidi w:val="0"/>
        <w:spacing w:line="240" w:lineRule="auto"/>
        <w:rPr>
          <w:rFonts w:hint="default" w:ascii="仿宋" w:hAnsi="仿宋" w:eastAsia="仿宋" w:cs="仿宋"/>
          <w:sz w:val="24"/>
          <w:szCs w:val="20"/>
          <w:highlight w:val="none"/>
          <w:lang w:val="en-US" w:eastAsia="zh-CN"/>
        </w:rPr>
      </w:pPr>
      <w:bookmarkStart w:id="4" w:name="_Toc23652"/>
      <w:r>
        <w:rPr>
          <w:rFonts w:hint="default" w:ascii="仿宋" w:hAnsi="仿宋" w:eastAsia="仿宋" w:cs="仿宋"/>
          <w:sz w:val="24"/>
          <w:szCs w:val="20"/>
          <w:highlight w:val="none"/>
          <w:lang w:eastAsia="zh-CN"/>
        </w:rPr>
        <w:t>1.</w:t>
      </w:r>
      <w:r>
        <w:rPr>
          <w:rFonts w:hint="eastAsia" w:ascii="仿宋" w:hAnsi="仿宋" w:eastAsia="仿宋" w:cs="仿宋"/>
          <w:sz w:val="24"/>
          <w:szCs w:val="20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sz w:val="24"/>
          <w:szCs w:val="20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0"/>
          <w:highlight w:val="none"/>
          <w:lang w:val="en-US" w:eastAsia="zh-CN"/>
        </w:rPr>
        <w:t>基础信息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（仅校级管理员具备此功能菜单）</w:t>
      </w:r>
      <w:bookmarkEnd w:id="4"/>
    </w:p>
    <w:p>
      <w:pPr>
        <w:spacing w:line="360" w:lineRule="auto"/>
        <w:ind w:firstLine="420" w:firstLineChars="0"/>
        <w:jc w:val="left"/>
      </w:pPr>
      <w:r>
        <w:rPr>
          <w:rFonts w:hint="eastAsia"/>
          <w:highlight w:val="none"/>
          <w:lang w:val="en-US" w:eastAsia="zh-CN"/>
        </w:rPr>
        <w:t>基础信息分为“校区列表”和“学院列表”两个模块，左上角箭头所指可对校区和学院列表进行“新增”、“删除”操作；右上角红框所示按钮可实现对当前界面字段的自定义的设置；同时可根据学院编号、名称、校区进行筛选。</w:t>
      </w:r>
      <w:r>
        <w:drawing>
          <wp:inline distT="0" distB="0" distL="114300" distR="114300">
            <wp:extent cx="5266690" cy="2614295"/>
            <wp:effectExtent l="0" t="0" r="10160" b="1460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宋体" w:hAnsi="宋体" w:eastAsia="宋体" w:cs="宋体"/>
          <w:sz w:val="13"/>
          <w:szCs w:val="13"/>
          <w:lang w:val="en-US" w:eastAsia="zh-CN"/>
        </w:rPr>
        <w:t>（基础信息图）</w:t>
      </w:r>
    </w:p>
    <w:p>
      <w:pPr>
        <w:widowControl/>
        <w:spacing w:line="360" w:lineRule="auto"/>
        <w:ind w:firstLine="420" w:firstLineChars="0"/>
        <w:jc w:val="left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1）新增功能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具体操作步骤如下：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如上图所示，点击箭头所指“新增”按钮填写基本信息，点击确定即可。</w:t>
      </w:r>
      <w:r>
        <w:drawing>
          <wp:inline distT="0" distB="0" distL="114300" distR="114300">
            <wp:extent cx="5266690" cy="2614295"/>
            <wp:effectExtent l="0" t="0" r="10160" b="1460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ind w:firstLine="420" w:firstLineChars="0"/>
        <w:jc w:val="left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2）如“基础信息图”所示，点击右上角红框内的“设置”可根据个人习惯对字段的位置、是否隐藏等功能进行自定义设置。注（管理端所有模块都可进行自定义设置）</w:t>
      </w:r>
      <w:r>
        <w:drawing>
          <wp:inline distT="0" distB="0" distL="114300" distR="114300">
            <wp:extent cx="5266690" cy="2614295"/>
            <wp:effectExtent l="0" t="0" r="10160" b="1460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0"/>
        <w:jc w:val="left"/>
        <w:rPr>
          <w:rFonts w:hint="eastAsia" w:ascii="仿宋" w:hAnsi="仿宋" w:eastAsia="仿宋" w:cs="仿宋"/>
          <w:sz w:val="32"/>
          <w:szCs w:val="32"/>
          <w:highlight w:val="none"/>
        </w:rPr>
      </w:pP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</w:rPr>
      </w:pPr>
      <w:bookmarkStart w:id="5" w:name="_Toc20310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题库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管理</w:t>
      </w:r>
      <w:bookmarkEnd w:id="5"/>
    </w:p>
    <w:p>
      <w:pPr>
        <w:numPr>
          <w:ilvl w:val="0"/>
          <w:numId w:val="0"/>
        </w:numPr>
        <w:spacing w:line="360" w:lineRule="auto"/>
        <w:ind w:firstLine="420" w:firstLineChars="0"/>
        <w:jc w:val="left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题库管理分为“共享题库”、“题库”、“知识点”和“临时题库”四个模块。其中“题库”和临时题库，校级管理员与院级管理员是相对独立的，可维护本单位自己的相关试题。</w:t>
      </w:r>
    </w:p>
    <w:p>
      <w:pPr>
        <w:numPr>
          <w:ilvl w:val="0"/>
          <w:numId w:val="0"/>
        </w:numPr>
        <w:spacing w:line="360" w:lineRule="auto"/>
        <w:ind w:firstLine="420" w:firstLineChars="0"/>
        <w:jc w:val="left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1）共享题库中的试题可分享给校级和院级管理员共同使用，还可根据筛选进行筛选。院级管理员点击“复制”可将题目复制到院级管理员的“题库”中。</w:t>
      </w:r>
    </w:p>
    <w:p>
      <w:pPr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614295"/>
            <wp:effectExtent l="0" t="0" r="10160" b="1460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firstLine="420" w:firstLineChars="0"/>
        <w:jc w:val="center"/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共享题库图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numPr>
          <w:ilvl w:val="0"/>
          <w:numId w:val="0"/>
        </w:numPr>
        <w:spacing w:line="360" w:lineRule="auto"/>
        <w:ind w:firstLine="420" w:firstLineChars="0"/>
        <w:jc w:val="left"/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2）“题库”模块可根据筛选框进行筛选题干，点击新增可进行单个试题的增加，点击“编辑”可对试题的状态、题型、标准答案、选项和解析进行操作（参考下图“编辑试题”）；题库中的试题可由“临时题库”导入。</w:t>
      </w:r>
      <w:r>
        <w:drawing>
          <wp:inline distT="0" distB="0" distL="114300" distR="114300">
            <wp:extent cx="5266690" cy="2614295"/>
            <wp:effectExtent l="0" t="0" r="10160" b="1460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题库模块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614295"/>
            <wp:effectExtent l="0" t="0" r="10160" b="1460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编辑试题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numPr>
          <w:ilvl w:val="0"/>
          <w:numId w:val="1"/>
        </w:numPr>
        <w:spacing w:line="360" w:lineRule="auto"/>
        <w:ind w:firstLine="420" w:firstLineChars="0"/>
        <w:jc w:val="left"/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临时题库模块：如箭头2所指选择相关试题点击“导出”即可将相应试题导出；如箭头1所示点击“导入题库”即可将选中试题导入“学校题库”中以便进行组卷。</w:t>
      </w:r>
      <w:r>
        <w:drawing>
          <wp:inline distT="0" distB="0" distL="114300" distR="114300">
            <wp:extent cx="5266690" cy="2614295"/>
            <wp:effectExtent l="0" t="0" r="10160" b="1460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color w:val="FF0000"/>
          <w:sz w:val="15"/>
          <w:szCs w:val="15"/>
          <w:lang w:val="en-US" w:eastAsia="zh-CN"/>
        </w:rPr>
        <w:t>临时题库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numPr>
          <w:ilvl w:val="0"/>
          <w:numId w:val="0"/>
        </w:numPr>
        <w:spacing w:line="360" w:lineRule="auto"/>
        <w:ind w:firstLine="420" w:firstLineChars="0"/>
        <w:jc w:val="left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4）题库上传：可先点击“导入”下载模板，上传文件即可将试题导入“临时题库”（如下图“试题上传”图片所示）。</w:t>
      </w:r>
    </w:p>
    <w:p>
      <w:pPr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614295"/>
            <wp:effectExtent l="0" t="0" r="10160" b="1460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color w:val="FF0000"/>
          <w:sz w:val="15"/>
          <w:szCs w:val="15"/>
          <w:lang w:val="en-US" w:eastAsia="zh-CN"/>
        </w:rPr>
        <w:t>试题上传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numPr>
          <w:ilvl w:val="0"/>
          <w:numId w:val="1"/>
        </w:numPr>
        <w:spacing w:line="360" w:lineRule="auto"/>
        <w:ind w:left="0" w:leftChars="0" w:firstLine="420" w:firstLineChars="0"/>
        <w:jc w:val="left"/>
        <w:rPr>
          <w:rFonts w:hint="eastAsia"/>
          <w:highlight w:val="none"/>
          <w:lang w:eastAsia="zh-Hans"/>
        </w:rPr>
      </w:pPr>
      <w:r>
        <w:rPr>
          <w:rFonts w:hint="eastAsia"/>
          <w:highlight w:val="none"/>
          <w:lang w:val="en-US" w:eastAsia="zh-CN"/>
        </w:rPr>
        <w:t>知识点：可对知识点类型进行编辑，维护。点击“新增”可增加新的知识点类型。</w:t>
      </w:r>
      <w:r>
        <w:drawing>
          <wp:inline distT="0" distB="0" distL="114300" distR="114300">
            <wp:extent cx="5266690" cy="2614295"/>
            <wp:effectExtent l="0" t="0" r="10160" b="1460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6" w:name="_Toc10892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6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考试设置（仅校级管理员具备此功能菜单）</w:t>
      </w:r>
      <w:bookmarkEnd w:id="6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当前模块可对学习课程、题库和考试所需学分进行控制。如下图所示关闭学习课程和题库预览按钮后，学生则无法进入两个模块。（注：此功能模块只有校级管理员角色有其余角色无权限）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</w:pPr>
      <w:bookmarkStart w:id="7" w:name="_Toc2746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7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考试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管理</w:t>
      </w:r>
      <w:bookmarkEnd w:id="7"/>
    </w:p>
    <w:p>
      <w:pPr>
        <w:ind w:firstLine="420" w:firstLineChars="0"/>
        <w:rPr>
          <w:rFonts w:hint="default" w:eastAsia="仿宋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考试管理分为“考试安排”和“考试记录”两个界面如下图所示为考试安排界面详情可看大图。</w:t>
      </w:r>
    </w:p>
    <w:p>
      <w:pPr>
        <w:bidi w:val="0"/>
      </w:pPr>
      <w:r>
        <w:drawing>
          <wp:inline distT="0" distB="0" distL="114300" distR="114300">
            <wp:extent cx="5266690" cy="2614295"/>
            <wp:effectExtent l="0" t="0" r="10160" b="14605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color w:val="FF0000"/>
          <w:sz w:val="15"/>
          <w:szCs w:val="15"/>
          <w:lang w:val="en-US" w:eastAsia="zh-CN"/>
        </w:rPr>
        <w:t>考试安排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numPr>
          <w:ilvl w:val="0"/>
          <w:numId w:val="0"/>
        </w:numPr>
        <w:spacing w:line="360" w:lineRule="auto"/>
        <w:ind w:firstLine="420" w:firstLineChars="0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1）下图为新增考试安排的详情：填写考试的基本信息，选择试卷，如果选择固定试卷则从已组好的试卷中选择，随机试卷则根据具体情况进行安排，随机试卷的组卷机制与“试卷管理”中的试卷组卷方式一致；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考生范围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按钮是根据学院、专业等进行大批量筛选学生，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考试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按钮则可根据学号等具体选择考生。</w:t>
      </w:r>
    </w:p>
    <w:p>
      <w:pPr>
        <w:numPr>
          <w:ilvl w:val="0"/>
          <w:numId w:val="0"/>
        </w:numPr>
        <w:spacing w:line="360" w:lineRule="auto"/>
        <w:ind w:firstLine="420" w:firstLineChars="0"/>
      </w:pPr>
      <w:r>
        <w:drawing>
          <wp:inline distT="0" distB="0" distL="114300" distR="114300">
            <wp:extent cx="5266690" cy="2614295"/>
            <wp:effectExtent l="0" t="0" r="10160" b="14605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ind w:firstLine="420" w:firstLineChars="0"/>
        <w:rPr>
          <w:rFonts w:hint="eastAsia"/>
          <w:highlight w:val="yellow"/>
          <w:lang w:val="en-US" w:eastAsia="zh-CN"/>
        </w:rPr>
      </w:pPr>
      <w:r>
        <w:rPr>
          <w:rFonts w:hint="eastAsia"/>
          <w:lang w:val="en-US" w:eastAsia="zh-CN"/>
        </w:rPr>
        <w:t>下图为考试记录看到考试的基本信息、参加人数等数据，点击“成绩”按钮可查看当前考试学生的成绩状态，</w:t>
      </w:r>
      <w:r>
        <w:rPr>
          <w:rFonts w:hint="eastAsia"/>
          <w:highlight w:val="none"/>
          <w:lang w:val="en-US" w:eastAsia="zh-CN"/>
        </w:rPr>
        <w:t>还可进行</w:t>
      </w:r>
      <w:r>
        <w:rPr>
          <w:rFonts w:hint="eastAsia"/>
          <w:highlight w:val="yellow"/>
          <w:lang w:val="en-US" w:eastAsia="zh-CN"/>
        </w:rPr>
        <w:t>导出</w:t>
      </w:r>
      <w:r>
        <w:rPr>
          <w:rFonts w:hint="eastAsia"/>
          <w:highlight w:val="none"/>
          <w:lang w:val="en-US" w:eastAsia="zh-CN"/>
        </w:rPr>
        <w:t>，点击“错题分析”可查看当前考试中出错频率较高的试题。</w:t>
      </w:r>
    </w:p>
    <w:p>
      <w:pPr>
        <w:numPr>
          <w:ilvl w:val="0"/>
          <w:numId w:val="0"/>
        </w:numPr>
        <w:spacing w:line="360" w:lineRule="auto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</w:pPr>
      <w:bookmarkStart w:id="8" w:name="_Toc10991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试卷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管理</w:t>
      </w:r>
      <w:bookmarkEnd w:id="8"/>
    </w:p>
    <w:p>
      <w:pPr>
        <w:numPr>
          <w:ilvl w:val="0"/>
          <w:numId w:val="0"/>
        </w:numPr>
        <w:spacing w:line="360" w:lineRule="auto"/>
        <w:ind w:firstLine="420" w:firstLineChars="0"/>
        <w:rPr>
          <w:rFonts w:hint="default" w:ascii="仿宋" w:hAnsi="仿宋" w:eastAsia="仿宋" w:cs="仿宋"/>
          <w:sz w:val="24"/>
          <w:szCs w:val="24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）试卷管理分为“共享试卷”和“试卷”两个模块。“共享试卷”即由本单位老师组卷完毕后，在“共享试卷”模块里面的试卷可分享给其他单位的管理员使用安排考试。可根据筛选框，筛选出具体考试；还可进行新增删除等操作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6690" cy="2614295"/>
            <wp:effectExtent l="0" t="0" r="10160" b="1460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0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如上图所示：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箭头一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所指可编辑试卷的发布状态；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箭头二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所指：可编辑试卷的分享状态，分享后可在“共享试卷”模块看到分享的试卷；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箭头三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所指：可预览试卷和试卷的正确答案；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箭头四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所指：可复制当前试卷的所有信息，再根据具体情况进行编辑；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箭头五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所指：可编辑试卷信息包括总分、及格分、试卷状态、题型、知识点等。</w:t>
      </w:r>
    </w:p>
    <w:p>
      <w:pPr>
        <w:numPr>
          <w:ilvl w:val="0"/>
          <w:numId w:val="3"/>
        </w:numPr>
        <w:spacing w:line="360" w:lineRule="auto"/>
        <w:ind w:firstLine="420" w:firstLineChars="0"/>
        <w:rPr>
          <w:rFonts w:hint="default" w:ascii="仿宋" w:hAnsi="仿宋" w:eastAsia="仿宋" w:cs="仿宋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点击新增，可编辑新的试卷如下图所示：填写试卷的基础信息，选择题库范围，知识点类型，专业类型，题型。根据组卷需要选择随机题数或者固定题数，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  <w:lang w:val="en-US" w:eastAsia="zh-CN"/>
        </w:rPr>
        <w:t>如选择固定题数如下图箭头所指，点击后再选择具体的题目</w:t>
      </w:r>
      <w:r>
        <w:rPr>
          <w:rFonts w:hint="eastAsia" w:ascii="仿宋" w:hAnsi="仿宋" w:eastAsia="仿宋" w:cs="仿宋"/>
          <w:sz w:val="24"/>
          <w:szCs w:val="24"/>
          <w:highlight w:val="none"/>
          <w:u w:val="none"/>
          <w:lang w:val="en-US" w:eastAsia="zh-CN"/>
        </w:rPr>
        <w:t>；若是随机题数选择题数、分值即可。（</w:t>
      </w:r>
      <w:r>
        <w:rPr>
          <w:rFonts w:hint="eastAsia" w:ascii="仿宋" w:hAnsi="仿宋" w:eastAsia="仿宋" w:cs="仿宋"/>
          <w:b/>
          <w:bCs/>
          <w:color w:val="FF0000"/>
          <w:sz w:val="24"/>
          <w:szCs w:val="24"/>
          <w:highlight w:val="none"/>
          <w:u w:val="none"/>
          <w:lang w:val="en-US" w:eastAsia="zh-CN"/>
        </w:rPr>
        <w:t>注：</w:t>
      </w:r>
      <w:r>
        <w:rPr>
          <w:rFonts w:hint="eastAsia" w:ascii="仿宋" w:hAnsi="仿宋" w:eastAsia="仿宋" w:cs="仿宋"/>
          <w:sz w:val="24"/>
          <w:szCs w:val="24"/>
          <w:highlight w:val="none"/>
          <w:u w:val="none"/>
          <w:lang w:val="en-US" w:eastAsia="zh-CN"/>
        </w:rPr>
        <w:t>同一题型不可进行二次选择，试题总分数不可低于或者高于试卷总分数）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6690" cy="2614295"/>
            <wp:effectExtent l="0" t="0" r="10160" b="14605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614295"/>
            <wp:effectExtent l="0" t="0" r="10160" b="1460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sz w:val="15"/>
          <w:szCs w:val="15"/>
          <w:lang w:val="en-US" w:eastAsia="zh-CN"/>
        </w:rPr>
      </w:pPr>
      <w:r>
        <w:rPr>
          <w:rFonts w:hint="eastAsia"/>
          <w:sz w:val="15"/>
          <w:szCs w:val="15"/>
          <w:lang w:val="en-US" w:eastAsia="zh-CN"/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固定题目选择</w:t>
      </w:r>
      <w:r>
        <w:rPr>
          <w:rFonts w:hint="eastAsia"/>
          <w:sz w:val="15"/>
          <w:szCs w:val="15"/>
          <w:lang w:val="en-US" w:eastAsia="zh-CN"/>
        </w:rPr>
        <w:t>）</w:t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9" w:name="_Toc1407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9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学习管理</w:t>
      </w:r>
      <w:bookmarkEnd w:id="9"/>
    </w:p>
    <w:p>
      <w:pPr>
        <w:numPr>
          <w:ilvl w:val="0"/>
          <w:numId w:val="0"/>
        </w:numPr>
        <w:spacing w:line="360" w:lineRule="auto"/>
        <w:ind w:firstLine="420" w:firstLineChars="0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rPr>
          <w:rFonts w:hint="eastAsia"/>
          <w:lang w:val="en-US" w:eastAsia="zh-CN"/>
        </w:rPr>
        <w:t>学习管理包括“课程”和“课件”两部分，如果要发布学习课程则需先维护“课件”里的课件内容，在进行课程的发布，发布完成后可在首页“在线学习”进行课程的学习；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点击箭头三指向按钮可查看学习课程的学习情况统计；箭头四指向可对以安排的好课程进行二次编辑，包括课程的基本信息，学生范围、课件等。</w:t>
      </w:r>
    </w:p>
    <w:p>
      <w:pPr>
        <w:ind w:firstLine="420" w:firstLineChars="0"/>
        <w:rPr>
          <w:rFonts w:hint="default" w:eastAsiaTheme="minorEastAsia"/>
          <w:lang w:val="en-US" w:eastAsia="zh-CN"/>
        </w:rPr>
      </w:pPr>
    </w:p>
    <w:p>
      <w:r>
        <w:drawing>
          <wp:inline distT="0" distB="0" distL="114300" distR="114300">
            <wp:extent cx="5266690" cy="2614295"/>
            <wp:effectExtent l="0" t="0" r="1016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b/>
          <w:bCs/>
          <w:color w:val="FF0000"/>
          <w:sz w:val="15"/>
          <w:szCs w:val="15"/>
          <w:lang w:val="en-US" w:eastAsia="zh-CN"/>
        </w:rPr>
      </w:pPr>
      <w:r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课程模块图片</w:t>
      </w:r>
      <w:r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numPr>
          <w:ilvl w:val="0"/>
          <w:numId w:val="0"/>
        </w:numPr>
        <w:spacing w:line="360" w:lineRule="auto"/>
        <w:ind w:firstLine="420" w:firstLineChars="0"/>
        <w:rPr>
          <w:rFonts w:hint="default" w:ascii="仿宋" w:hAnsi="仿宋" w:eastAsia="仿宋" w:cs="仿宋"/>
          <w:sz w:val="24"/>
          <w:szCs w:val="24"/>
          <w:highlight w:val="none"/>
          <w:lang w:val="en-US" w:eastAsia="zh-Hans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1）箭头一：如下图所示：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点击可新增课程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，选择课程的基础信息，有“*”的则为必选项，如下图绿色框图可选择课程相关知识点；同时还可将课程与考试绑定，如下图蓝色框图所示，设置完毕后，若学生不能完成课程规定的学习任务则无法进行考试；考生范围可进行批量的选择需要学习课程的学生，如果遇到跨学院或者安排个别学生进行学习可点击“选择学生”选择具体用户。箭头二可编辑课程的发布状态。</w:t>
      </w:r>
    </w:p>
    <w:p>
      <w:pPr>
        <w:numPr>
          <w:ilvl w:val="0"/>
          <w:numId w:val="0"/>
        </w:numPr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firstLine="420" w:firstLineChars="0"/>
        <w:jc w:val="left"/>
      </w:pPr>
      <w:r>
        <w:rPr>
          <w:rFonts w:hint="eastAsia"/>
          <w:highlight w:val="none"/>
          <w:lang w:val="en-US" w:eastAsia="zh-CN"/>
        </w:rPr>
        <w:t>课件：点击新增可上传新的课件，支持mp4格式的视频、PDF、</w:t>
      </w:r>
      <w:r>
        <w:rPr>
          <w:rFonts w:hint="eastAsia"/>
          <w:highlight w:val="yellow"/>
          <w:lang w:val="en-US" w:eastAsia="zh-CN"/>
        </w:rPr>
        <w:t>文字和图片</w:t>
      </w:r>
      <w:r>
        <w:rPr>
          <w:rFonts w:hint="eastAsia"/>
          <w:highlight w:val="none"/>
          <w:lang w:val="en-US" w:eastAsia="zh-CN"/>
        </w:rPr>
        <w:t>；点击预览可预览课件内容，点击“编辑”可课件基本信息和内容。</w:t>
      </w:r>
      <w:r>
        <w:drawing>
          <wp:inline distT="0" distB="0" distL="114300" distR="114300">
            <wp:extent cx="5266690" cy="2614295"/>
            <wp:effectExtent l="0" t="0" r="10160" b="1460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下图为课件新增的界面</w:t>
      </w:r>
    </w:p>
    <w:p>
      <w:pPr>
        <w:numPr>
          <w:ilvl w:val="0"/>
          <w:numId w:val="0"/>
        </w:numPr>
        <w:jc w:val="left"/>
        <w:rPr>
          <w:rFonts w:hint="default" w:eastAsiaTheme="minorEastAsia"/>
          <w:highlight w:val="none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0" w:name="_Toc3061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10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培训管理</w:t>
      </w:r>
      <w:bookmarkEnd w:id="10"/>
    </w:p>
    <w:p>
      <w:pPr>
        <w:ind w:left="42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培训管理分为“线下培训”和“培训任务”，培训任务的性质为线上培训，点击新增即可新增新的培训任务，两个模块的新增功能相同，如下图所示点击“报名”即可查看培训任务的签到情况（注：线下任务点击</w:t>
      </w:r>
      <w:r>
        <w:rPr>
          <w:rFonts w:hint="eastAsia"/>
          <w:b/>
          <w:bCs/>
          <w:lang w:val="en-US" w:eastAsia="zh-CN"/>
        </w:rPr>
        <w:t>签到</w:t>
      </w:r>
      <w:r>
        <w:rPr>
          <w:rFonts w:hint="eastAsia"/>
          <w:lang w:val="en-US" w:eastAsia="zh-CN"/>
        </w:rPr>
        <w:t>即可查看）</w:t>
      </w:r>
    </w:p>
    <w:p>
      <w:pPr>
        <w:ind w:left="42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如下图“培训新增界面”所示：新增培训时，填写基本信息选择培训人，上传线上连接等即可。（线上连接可支持腾讯会议线上地址跳转，带有*号的为必填项）</w:t>
      </w:r>
    </w:p>
    <w:p>
      <w:pPr>
        <w:jc w:val="both"/>
      </w:pPr>
      <w:r>
        <w:drawing>
          <wp:inline distT="0" distB="0" distL="114300" distR="114300">
            <wp:extent cx="5266690" cy="2614295"/>
            <wp:effectExtent l="0" t="0" r="10160" b="14605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培训管理</w:t>
      </w:r>
      <w:r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5266690" cy="2614295"/>
            <wp:effectExtent l="0" t="0" r="10160" b="14605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b/>
          <w:bCs/>
          <w:color w:val="FF0000"/>
          <w:sz w:val="15"/>
          <w:szCs w:val="15"/>
          <w:lang w:val="en-US" w:eastAsia="zh-CN"/>
        </w:rPr>
        <w:t>培训新增界面</w:t>
      </w:r>
      <w:r>
        <w:rPr>
          <w:rFonts w:hint="eastAsia"/>
          <w:b/>
          <w:bCs/>
          <w:color w:val="000000" w:themeColor="text1"/>
          <w:sz w:val="15"/>
          <w:szCs w:val="15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numPr>
          <w:ilvl w:val="0"/>
          <w:numId w:val="0"/>
        </w:numPr>
        <w:spacing w:line="360" w:lineRule="auto"/>
        <w:jc w:val="center"/>
        <w:rPr>
          <w:rFonts w:hint="default"/>
          <w:lang w:val="en-US" w:eastAsia="zh-CN"/>
        </w:rPr>
      </w:pP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1" w:name="_Toc7955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11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安全课程（仅校级管理员具备此功能菜单）</w:t>
      </w:r>
      <w:bookmarkEnd w:id="11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可上传视频课程，视频课程支持mp4的h264格式，可在首页安全课程进行观看学习。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2" w:name="_Toc30569"/>
      <w:r>
        <w:rPr>
          <w:rFonts w:hint="default" w:ascii="仿宋" w:hAnsi="仿宋" w:eastAsia="仿宋" w:cs="仿宋"/>
          <w:sz w:val="24"/>
          <w:szCs w:val="24"/>
          <w:highlight w:val="none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12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证书（仅校级管理员具备此功能菜单）</w:t>
      </w:r>
      <w:bookmarkEnd w:id="12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证书模块可编辑多个版本的证书，可根据实际需求自定义编辑证书节点。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3" w:name="_Toc27076"/>
      <w: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13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考试轮播（仅校级管理员具备此功能菜单）</w:t>
      </w:r>
      <w:bookmarkEnd w:id="13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可在当前模块编辑首页的轮播图</w:t>
      </w:r>
    </w:p>
    <w:p>
      <w:pPr>
        <w:rPr>
          <w:rFonts w:hint="eastAsia" w:ascii="仿宋" w:hAnsi="仿宋" w:eastAsia="仿宋" w:cs="仿宋"/>
          <w:sz w:val="32"/>
          <w:szCs w:val="32"/>
          <w:highlight w:val="none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4" w:name="_Toc20302"/>
      <w: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14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信息发布</w:t>
      </w:r>
      <w:bookmarkEnd w:id="14"/>
    </w:p>
    <w:p>
      <w:pPr>
        <w:ind w:firstLine="420" w:firstLineChars="0"/>
        <w:rPr>
          <w:rFonts w:hint="default" w:ascii="仿宋" w:hAnsi="仿宋" w:eastAsia="仿宋" w:cs="仿宋"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管理员可在当前功能模块，发布不同性质的信息通知包括“通知公告”、“政策法规”、“警示教育”、“安全知识”等，还可根据具体情况在“字典”模块维护新的信息类型。如下图所示新增信息类型点击“新增”填写基本信息即可</w:t>
      </w:r>
      <w:r>
        <w:rPr>
          <w:rFonts w:hint="eastAsia" w:ascii="仿宋" w:hAnsi="仿宋" w:eastAsia="仿宋" w:cs="仿宋"/>
          <w:sz w:val="24"/>
          <w:szCs w:val="24"/>
          <w:highlight w:val="yellow"/>
          <w:lang w:val="en-US" w:eastAsia="zh-CN"/>
        </w:rPr>
        <w:t>（支持图片和文字）</w:t>
      </w:r>
    </w:p>
    <w:p>
      <w:pP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3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5" w:name="_Toc7373"/>
      <w: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15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用户管理（仅校级管理员具备此功能菜单）</w:t>
      </w:r>
      <w:bookmarkEnd w:id="15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用户管理包括“学生列表”和“教职工列表”，可对教师和学生进行新增、重置密码等操作，还可在“教职工列表”对教职工进行角色授权操作。</w:t>
      </w:r>
    </w:p>
    <w:p>
      <w:r>
        <w:drawing>
          <wp:inline distT="0" distB="0" distL="114300" distR="114300">
            <wp:extent cx="5266690" cy="2614295"/>
            <wp:effectExtent l="0" t="0" r="10160" b="14605"/>
            <wp:docPr id="3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6" w:name="_Toc24109"/>
      <w: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16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统计管理</w:t>
      </w:r>
      <w:bookmarkEnd w:id="16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统计管理包括“单项统计”、“综合统计”和“自测统计”。单项统计可展示每个考试的考试情况包括参考人数、参考率、通过率等；综合统计是以统计图的形式展示考试的情况；自测统计则统计的是学生自己自行测试的成绩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614295"/>
            <wp:effectExtent l="0" t="0" r="10160" b="14605"/>
            <wp:docPr id="3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7" w:name="_Toc28642"/>
      <w: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17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字典（仅校级管理员具备此功能菜单）</w:t>
      </w:r>
      <w:bookmarkEnd w:id="17"/>
    </w:p>
    <w:p>
      <w:pPr>
        <w:ind w:firstLine="420" w:firstLineChars="0"/>
        <w:rPr>
          <w:rFonts w:hint="default" w:eastAsiaTheme="minor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字典可对信息类型、年级、专业、用户类型、专业类型、题型、课程类型、考试类型进行维护，可根据具体情况维护相关字段。维护的方式为点击各模块下的新增填写基本信息即可。</w:t>
      </w:r>
    </w:p>
    <w:p>
      <w:pPr>
        <w:bidi w:val="0"/>
      </w:pPr>
      <w:r>
        <w:drawing>
          <wp:inline distT="0" distB="0" distL="114300" distR="114300">
            <wp:extent cx="5266690" cy="2614295"/>
            <wp:effectExtent l="0" t="0" r="10160" b="14605"/>
            <wp:docPr id="3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</w:p>
    <w:p>
      <w:pPr>
        <w:pStyle w:val="3"/>
        <w:bidi w:val="0"/>
        <w:spacing w:line="360" w:lineRule="auto"/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</w:pPr>
      <w:bookmarkStart w:id="18" w:name="_Toc32498"/>
      <w:r>
        <w:rPr>
          <w:rFonts w:hint="default" w:ascii="仿宋" w:hAnsi="仿宋" w:eastAsia="仿宋" w:cs="仿宋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18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Hans"/>
        </w:rPr>
        <w:t>、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流程</w:t>
      </w:r>
      <w:bookmarkEnd w:id="18"/>
    </w:p>
    <w:p>
      <w:pPr>
        <w:ind w:firstLine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1）安排考试流程：试卷管理→试卷（进行组卷）→证书→考试管理→考试安排（填写考试的基本信息，考生范围、考试试卷）→主页→考试→考试通过→打印证书    </w:t>
      </w:r>
    </w:p>
    <w:p>
      <w:pPr>
        <w:ind w:firstLine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2）安排学习课程：课件（维护课件）→课程→填写基本信息→选择要学习的课件→学生→在线学习→学习相关课程即可</w:t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3）培训：线上/线下培训→选择培训人、范围→学生→培训</w:t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right"/>
      <w:rPr>
        <w:rFonts w:ascii="微软雅黑" w:hAnsi="微软雅黑" w:eastAsia="微软雅黑"/>
        <w:sz w:val="24"/>
        <w:szCs w:val="24"/>
      </w:rPr>
    </w:pPr>
    <w: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-220345</wp:posOffset>
          </wp:positionV>
          <wp:extent cx="863600" cy="571500"/>
          <wp:effectExtent l="0" t="0" r="0" b="0"/>
          <wp:wrapNone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636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微软雅黑" w:hAnsi="微软雅黑" w:eastAsia="微软雅黑"/>
        <w:sz w:val="24"/>
        <w:szCs w:val="24"/>
      </w:rPr>
      <w:t xml:space="preserve">                            天津市晟科思科技发展有限公司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8E1C4A"/>
    <w:multiLevelType w:val="singleLevel"/>
    <w:tmpl w:val="A18E1C4A"/>
    <w:lvl w:ilvl="0" w:tentative="0">
      <w:start w:val="2"/>
      <w:numFmt w:val="decimal"/>
      <w:suff w:val="nothing"/>
      <w:lvlText w:val="%1）"/>
      <w:lvlJc w:val="left"/>
      <w:rPr>
        <w:rFonts w:hint="default"/>
        <w:highlight w:val="none"/>
      </w:rPr>
    </w:lvl>
  </w:abstractNum>
  <w:abstractNum w:abstractNumId="1">
    <w:nsid w:val="B6B95EE4"/>
    <w:multiLevelType w:val="singleLevel"/>
    <w:tmpl w:val="B6B95EE4"/>
    <w:lvl w:ilvl="0" w:tentative="0">
      <w:start w:val="2"/>
      <w:numFmt w:val="decimal"/>
      <w:suff w:val="nothing"/>
      <w:lvlText w:val="%1）"/>
      <w:lvlJc w:val="left"/>
    </w:lvl>
  </w:abstractNum>
  <w:abstractNum w:abstractNumId="2">
    <w:nsid w:val="D7082F72"/>
    <w:multiLevelType w:val="singleLevel"/>
    <w:tmpl w:val="D7082F72"/>
    <w:lvl w:ilvl="0" w:tentative="0">
      <w:start w:val="2"/>
      <w:numFmt w:val="decimal"/>
      <w:suff w:val="nothing"/>
      <w:lvlText w:val="%1）"/>
      <w:lvlJc w:val="left"/>
    </w:lvl>
  </w:abstractNum>
  <w:abstractNum w:abstractNumId="3">
    <w:nsid w:val="6063C608"/>
    <w:multiLevelType w:val="singleLevel"/>
    <w:tmpl w:val="6063C608"/>
    <w:lvl w:ilvl="0" w:tentative="0">
      <w:start w:val="3"/>
      <w:numFmt w:val="decimal"/>
      <w:suff w:val="nothing"/>
      <w:lvlText w:val="%1）"/>
      <w:lvlJc w:val="left"/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JiYTEwNjIyYWNhNzEwYmQ3MzljOWE2YzJkOTBhNTAifQ=="/>
  </w:docVars>
  <w:rsids>
    <w:rsidRoot w:val="003F103A"/>
    <w:rsid w:val="0002413A"/>
    <w:rsid w:val="00041972"/>
    <w:rsid w:val="0004671D"/>
    <w:rsid w:val="001B7B23"/>
    <w:rsid w:val="001D083D"/>
    <w:rsid w:val="00212220"/>
    <w:rsid w:val="002A2803"/>
    <w:rsid w:val="002F37E4"/>
    <w:rsid w:val="003025F2"/>
    <w:rsid w:val="00340729"/>
    <w:rsid w:val="003642F2"/>
    <w:rsid w:val="003F103A"/>
    <w:rsid w:val="00483202"/>
    <w:rsid w:val="004D5058"/>
    <w:rsid w:val="004D7FCB"/>
    <w:rsid w:val="00507C9B"/>
    <w:rsid w:val="005112DC"/>
    <w:rsid w:val="005357F5"/>
    <w:rsid w:val="00570852"/>
    <w:rsid w:val="005905C9"/>
    <w:rsid w:val="005C452B"/>
    <w:rsid w:val="005F1974"/>
    <w:rsid w:val="006107A2"/>
    <w:rsid w:val="006172CB"/>
    <w:rsid w:val="00655FB9"/>
    <w:rsid w:val="00670584"/>
    <w:rsid w:val="0069224A"/>
    <w:rsid w:val="006C482D"/>
    <w:rsid w:val="006E04CB"/>
    <w:rsid w:val="006F50EA"/>
    <w:rsid w:val="00703392"/>
    <w:rsid w:val="00730B95"/>
    <w:rsid w:val="008A153B"/>
    <w:rsid w:val="00901C3E"/>
    <w:rsid w:val="00911C66"/>
    <w:rsid w:val="00926393"/>
    <w:rsid w:val="00935EFF"/>
    <w:rsid w:val="00981196"/>
    <w:rsid w:val="0099724D"/>
    <w:rsid w:val="009A2CD6"/>
    <w:rsid w:val="009F0B29"/>
    <w:rsid w:val="00A026EF"/>
    <w:rsid w:val="00A05219"/>
    <w:rsid w:val="00AA362A"/>
    <w:rsid w:val="00AC44BD"/>
    <w:rsid w:val="00B429D2"/>
    <w:rsid w:val="00B5398D"/>
    <w:rsid w:val="00BD5554"/>
    <w:rsid w:val="00BD7847"/>
    <w:rsid w:val="00C11BDE"/>
    <w:rsid w:val="00C533CD"/>
    <w:rsid w:val="00C6223D"/>
    <w:rsid w:val="00D337B2"/>
    <w:rsid w:val="00DA7A16"/>
    <w:rsid w:val="00E10583"/>
    <w:rsid w:val="00E6643B"/>
    <w:rsid w:val="00E85C95"/>
    <w:rsid w:val="03EC2B7B"/>
    <w:rsid w:val="045F1378"/>
    <w:rsid w:val="11534B25"/>
    <w:rsid w:val="139D2101"/>
    <w:rsid w:val="17731E59"/>
    <w:rsid w:val="18A97DE4"/>
    <w:rsid w:val="198D2276"/>
    <w:rsid w:val="1C2212BA"/>
    <w:rsid w:val="1E1660C5"/>
    <w:rsid w:val="1FB422F6"/>
    <w:rsid w:val="1FC14531"/>
    <w:rsid w:val="216C6E43"/>
    <w:rsid w:val="23A8D761"/>
    <w:rsid w:val="27C34BB3"/>
    <w:rsid w:val="35FC2559"/>
    <w:rsid w:val="45295C40"/>
    <w:rsid w:val="463E1211"/>
    <w:rsid w:val="46C866B2"/>
    <w:rsid w:val="49AD34D2"/>
    <w:rsid w:val="4A5971AE"/>
    <w:rsid w:val="55A12925"/>
    <w:rsid w:val="59F266E3"/>
    <w:rsid w:val="63BF8B8B"/>
    <w:rsid w:val="63E53B07"/>
    <w:rsid w:val="67BF35D1"/>
    <w:rsid w:val="6C832B6D"/>
    <w:rsid w:val="6FFFC86B"/>
    <w:rsid w:val="70F04414"/>
    <w:rsid w:val="74DC60BD"/>
    <w:rsid w:val="76E166F3"/>
    <w:rsid w:val="77B21B30"/>
    <w:rsid w:val="7DFF3AE7"/>
    <w:rsid w:val="7EF6351F"/>
    <w:rsid w:val="8D1A5CC1"/>
    <w:rsid w:val="ABDEA8CE"/>
    <w:rsid w:val="ABDF45D9"/>
    <w:rsid w:val="AFCDF83D"/>
    <w:rsid w:val="DF7EFAD1"/>
    <w:rsid w:val="FDEF3D37"/>
    <w:rsid w:val="FDFE8A5D"/>
    <w:rsid w:val="FF7F7A90"/>
    <w:rsid w:val="FFBE9C74"/>
    <w:rsid w:val="FFFDC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1"/>
    <w:pPr>
      <w:spacing w:before="1"/>
      <w:ind w:left="120"/>
      <w:outlineLvl w:val="1"/>
    </w:pPr>
    <w:rPr>
      <w:rFonts w:ascii="Microsoft YaHei UI" w:hAnsi="Microsoft YaHei UI" w:eastAsia="Microsoft YaHei UI" w:cs="Microsoft YaHei UI"/>
      <w:b/>
      <w:bCs/>
      <w:sz w:val="28"/>
      <w:szCs w:val="28"/>
      <w:lang w:val="zh-CN" w:eastAsia="zh-CN" w:bidi="zh-CN"/>
    </w:rPr>
  </w:style>
  <w:style w:type="paragraph" w:styleId="3">
    <w:name w:val="heading 2"/>
    <w:basedOn w:val="1"/>
    <w:next w:val="1"/>
    <w:link w:val="13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0">
    <w:name w:val="Default Paragraph Font"/>
    <w:unhideWhenUsed/>
    <w:qFormat/>
    <w:uiPriority w:val="1"/>
  </w:style>
  <w:style w:type="table" w:default="1" w:styleId="9">
    <w:name w:val="Normal Table"/>
    <w:autoRedefine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Microsoft YaHei UI" w:hAnsi="Microsoft YaHei UI" w:eastAsia="Microsoft YaHei UI" w:cs="Microsoft YaHei UI"/>
      <w:sz w:val="28"/>
      <w:szCs w:val="28"/>
      <w:lang w:val="zh-CN" w:eastAsia="zh-CN" w:bidi="zh-CN"/>
    </w:rPr>
  </w:style>
  <w:style w:type="paragraph" w:styleId="6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2"/>
    <w:basedOn w:val="1"/>
    <w:next w:val="1"/>
    <w:unhideWhenUsed/>
    <w:qFormat/>
    <w:uiPriority w:val="39"/>
    <w:pPr>
      <w:ind w:left="420" w:leftChars="200"/>
    </w:pPr>
  </w:style>
  <w:style w:type="character" w:customStyle="1" w:styleId="11">
    <w:name w:val="页眉 字符"/>
    <w:basedOn w:val="10"/>
    <w:link w:val="7"/>
    <w:autoRedefine/>
    <w:qFormat/>
    <w:uiPriority w:val="99"/>
    <w:rPr>
      <w:sz w:val="18"/>
      <w:szCs w:val="18"/>
    </w:rPr>
  </w:style>
  <w:style w:type="character" w:customStyle="1" w:styleId="12">
    <w:name w:val="页脚 字符"/>
    <w:basedOn w:val="10"/>
    <w:link w:val="6"/>
    <w:qFormat/>
    <w:uiPriority w:val="99"/>
    <w:rPr>
      <w:sz w:val="18"/>
      <w:szCs w:val="18"/>
    </w:rPr>
  </w:style>
  <w:style w:type="character" w:customStyle="1" w:styleId="13">
    <w:name w:val="标题 2 Char"/>
    <w:link w:val="3"/>
    <w:qFormat/>
    <w:uiPriority w:val="9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3349</Words>
  <Characters>3512</Characters>
  <Lines>5</Lines>
  <Paragraphs>1</Paragraphs>
  <TotalTime>1</TotalTime>
  <ScaleCrop>false</ScaleCrop>
  <LinksUpToDate>false</LinksUpToDate>
  <CharactersWithSpaces>3577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2018-07-19T22:40:00Z</dcterms:created>
  <dc:creator>刘 欣</dc:creator>
  <cp:lastModifiedBy>WPS_1689649423</cp:lastModifiedBy>
  <dcterms:modified xsi:type="dcterms:W3CDTF">2024-05-30T08:19:29Z</dcterms:modified>
  <cp:revision>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243B8060C05043BDBE203D3E5816E886_13</vt:lpwstr>
  </property>
</Properties>
</file>